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9" w:rsidRPr="00EF1B39" w:rsidRDefault="002B4333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B11339">
        <w:rPr>
          <w:rFonts w:ascii="Arial" w:hAnsi="Arial" w:cs="Arial"/>
          <w:b/>
          <w:sz w:val="32"/>
          <w:szCs w:val="32"/>
        </w:rPr>
        <w:t>.09</w:t>
      </w:r>
      <w:r w:rsidR="008B0BC4">
        <w:rPr>
          <w:rFonts w:ascii="Arial" w:hAnsi="Arial" w:cs="Arial"/>
          <w:b/>
          <w:sz w:val="32"/>
          <w:szCs w:val="32"/>
        </w:rPr>
        <w:t>.2023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г.</w:t>
      </w:r>
      <w:r w:rsidR="00B64E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№33-П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F1B39" w:rsidRPr="00EF1B39" w:rsidRDefault="00CA24FE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МУНИЦИПАЛЬНЫЙ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РАЙОН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A24FE">
        <w:rPr>
          <w:rFonts w:ascii="Arial" w:hAnsi="Arial" w:cs="Arial"/>
          <w:b/>
          <w:sz w:val="32"/>
          <w:szCs w:val="32"/>
        </w:rPr>
        <w:t>АЛАРЬ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B64E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УТВЕРЖДЕНИИ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ПРОГРАММЫ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ОБЛАСТИ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ОХРАНЫ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ОКРУЖАЮЩЕЙ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СРЕДЫ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ПРИРОДОПОЛЬЗОВАНИЯ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ТЕРРИТОРИИ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CA24FE">
        <w:rPr>
          <w:rFonts w:ascii="Arial" w:eastAsia="Times New Roman" w:hAnsi="Arial" w:cs="Arial"/>
          <w:b/>
          <w:color w:val="000000"/>
          <w:sz w:val="32"/>
          <w:szCs w:val="32"/>
        </w:rPr>
        <w:t>АЛАРЬ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8B0BC4">
        <w:rPr>
          <w:rFonts w:ascii="Arial" w:eastAsia="Times New Roman" w:hAnsi="Arial" w:cs="Arial"/>
          <w:b/>
          <w:color w:val="000000"/>
          <w:sz w:val="32"/>
          <w:szCs w:val="32"/>
        </w:rPr>
        <w:t>2023-2025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ГОДЫ</w:t>
      </w:r>
    </w:p>
    <w:p w:rsidR="00EF1B39" w:rsidRPr="00EF1B39" w:rsidRDefault="00EF1B39" w:rsidP="00EF1B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F1B39" w:rsidRDefault="00EF1B39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F1B39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октября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131-ФЗ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принципах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Федерации",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7-ФЗ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охране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улучшения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санитарных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норм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здоровья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End"/>
    </w:p>
    <w:p w:rsidR="009563F2" w:rsidRPr="00EF1B39" w:rsidRDefault="009563F2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4E7F">
        <w:rPr>
          <w:rFonts w:ascii="Arial" w:eastAsia="Times New Roman" w:hAnsi="Arial" w:cs="Arial"/>
          <w:b/>
          <w:color w:val="000000"/>
          <w:sz w:val="28"/>
          <w:szCs w:val="24"/>
        </w:rPr>
        <w:t>ПОСТАНОВЛЯ</w:t>
      </w:r>
      <w:r w:rsidR="009563F2" w:rsidRPr="00B64E7F">
        <w:rPr>
          <w:rFonts w:ascii="Arial" w:eastAsia="Times New Roman" w:hAnsi="Arial" w:cs="Arial"/>
          <w:b/>
          <w:color w:val="000000"/>
          <w:sz w:val="28"/>
          <w:szCs w:val="24"/>
        </w:rPr>
        <w:t>Ю</w:t>
      </w:r>
      <w:r w:rsidRPr="009563F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563F2" w:rsidRPr="009563F2" w:rsidRDefault="009563F2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1B39" w:rsidRDefault="00EF1B39" w:rsidP="008B0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BC4">
        <w:rPr>
          <w:rFonts w:ascii="Arial" w:eastAsia="Times New Roman" w:hAnsi="Arial" w:cs="Arial"/>
          <w:color w:val="000000"/>
          <w:sz w:val="24"/>
          <w:szCs w:val="24"/>
        </w:rPr>
        <w:t>2023-2025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приложению</w:t>
      </w:r>
      <w:r w:rsidR="00FC01A2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(Приложение)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B0BC4" w:rsidRDefault="008B0BC4" w:rsidP="008B0BC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8B0BC4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муниц</w:t>
      </w:r>
      <w:r>
        <w:rPr>
          <w:rFonts w:ascii="Arial" w:eastAsia="Times New Roman" w:hAnsi="Arial" w:cs="Arial"/>
          <w:sz w:val="24"/>
          <w:szCs w:val="24"/>
        </w:rPr>
        <w:t>ипального образования «Аларь» от 08.08.2019г. №45</w:t>
      </w:r>
      <w:r w:rsidRPr="008B0BC4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 xml:space="preserve"> в области охраны окружающей среды и природопользования на территории муниципального образования «Аларь» на 2019-2021</w:t>
      </w:r>
      <w:r w:rsidRPr="008B0BC4">
        <w:rPr>
          <w:rFonts w:ascii="Arial" w:eastAsia="Times New Roman" w:hAnsi="Arial" w:cs="Arial"/>
          <w:sz w:val="24"/>
          <w:szCs w:val="24"/>
        </w:rPr>
        <w:t xml:space="preserve"> годы».</w:t>
      </w:r>
    </w:p>
    <w:p w:rsidR="00FC01A2" w:rsidRPr="008B0BC4" w:rsidRDefault="00FC01A2" w:rsidP="00FC01A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FC01A2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Предусматривать ежегодно средства в объемах, предусмотренных в </w:t>
      </w:r>
      <w:r w:rsidRPr="00FC01A2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Программе, в проектах бюджета муниц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ипального образования «Аларь</w:t>
      </w:r>
      <w:r w:rsidRPr="00FC01A2">
        <w:rPr>
          <w:rFonts w:ascii="Arial" w:eastAsia="Times New Roman" w:hAnsi="Arial" w:cs="Arial"/>
          <w:color w:val="000000"/>
          <w:spacing w:val="1"/>
          <w:sz w:val="24"/>
          <w:szCs w:val="24"/>
        </w:rPr>
        <w:t>»</w:t>
      </w:r>
      <w:r w:rsidRPr="00FC01A2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FC01A2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на очередной </w:t>
      </w:r>
      <w:r w:rsidRPr="00FC01A2">
        <w:rPr>
          <w:rFonts w:ascii="Arial" w:eastAsia="Times New Roman" w:hAnsi="Arial" w:cs="Arial"/>
          <w:color w:val="000000"/>
          <w:sz w:val="24"/>
          <w:szCs w:val="24"/>
        </w:rPr>
        <w:t>финансовый год для реализации мероприятий Программы.</w:t>
      </w:r>
    </w:p>
    <w:p w:rsidR="008B0BC4" w:rsidRPr="008B0BC4" w:rsidRDefault="00FC01A2" w:rsidP="00FC0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8B0BC4">
        <w:rPr>
          <w:rFonts w:ascii="Arial" w:eastAsia="Times New Roman" w:hAnsi="Arial" w:cs="Arial"/>
          <w:sz w:val="24"/>
          <w:szCs w:val="24"/>
        </w:rPr>
        <w:t xml:space="preserve">. </w:t>
      </w:r>
      <w:r w:rsidR="008B0BC4" w:rsidRPr="008B0BC4">
        <w:rPr>
          <w:rFonts w:ascii="Arial" w:eastAsia="Times New Roman" w:hAnsi="Arial" w:cs="Arial"/>
          <w:sz w:val="24"/>
          <w:szCs w:val="24"/>
        </w:rPr>
        <w:t>Опубликовать данное постановление в печатном средств</w:t>
      </w:r>
      <w:r w:rsidR="008B0BC4">
        <w:rPr>
          <w:rFonts w:ascii="Arial" w:eastAsia="Times New Roman" w:hAnsi="Arial" w:cs="Arial"/>
          <w:sz w:val="24"/>
          <w:szCs w:val="24"/>
        </w:rPr>
        <w:t>е массовой информации «Аларский</w:t>
      </w:r>
      <w:r w:rsidR="008B0BC4" w:rsidRPr="008B0BC4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муниц</w:t>
      </w:r>
      <w:r w:rsidR="008B0BC4">
        <w:rPr>
          <w:rFonts w:ascii="Arial" w:eastAsia="Times New Roman" w:hAnsi="Arial" w:cs="Arial"/>
          <w:sz w:val="24"/>
          <w:szCs w:val="24"/>
        </w:rPr>
        <w:t>ипального образования «Аларь</w:t>
      </w:r>
      <w:r w:rsidR="008B0BC4" w:rsidRPr="008B0BC4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Интернет.</w:t>
      </w:r>
    </w:p>
    <w:p w:rsidR="008B0BC4" w:rsidRPr="008B0BC4" w:rsidRDefault="008B0BC4" w:rsidP="008B0B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0BC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8B0BC4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8B0B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8B0BC4" w:rsidRPr="00EF1B39" w:rsidRDefault="008B0BC4" w:rsidP="008B0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Э.Ж. Габеева</w:t>
      </w:r>
    </w:p>
    <w:p w:rsidR="00CA24FE" w:rsidRDefault="00EF1B39" w:rsidP="00FC01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CA24FE" w:rsidRPr="00EF1B39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1 к постановлению</w:t>
      </w: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МО «</w:t>
      </w:r>
      <w:r w:rsidR="00CA24FE">
        <w:rPr>
          <w:rFonts w:ascii="Courier New" w:eastAsia="Times New Roman" w:hAnsi="Courier New" w:cs="Courier New"/>
          <w:color w:val="000000"/>
          <w:sz w:val="20"/>
          <w:szCs w:val="20"/>
        </w:rPr>
        <w:t>Аларь</w:t>
      </w: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»</w:t>
      </w:r>
    </w:p>
    <w:p w:rsidR="00EF1B39" w:rsidRPr="009563F2" w:rsidRDefault="002B4333" w:rsidP="00EF1B39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12.09.2023 №33-п</w:t>
      </w:r>
      <w:bookmarkStart w:id="0" w:name="_GoBack"/>
      <w:bookmarkEnd w:id="0"/>
    </w:p>
    <w:p w:rsidR="00EF1B39" w:rsidRPr="00EF1B39" w:rsidRDefault="00EF1B39" w:rsidP="00EF1B3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EF1B39" w:rsidRPr="00CA24FE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МУНИЦИПАЛЬНАЯ ПРОГРАММА В ОБЛАСТИ ОХРАНЫ ОКРУЖАЮЩЕЙ СРЕДЫ И ПРИРОДОПОЛЬЗОВАНИЯ </w:t>
      </w:r>
      <w:proofErr w:type="gramStart"/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>НА</w:t>
      </w:r>
      <w:proofErr w:type="gramEnd"/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proofErr w:type="gramStart"/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>МУНИЦИПАЛЬНОГО</w:t>
      </w:r>
      <w:proofErr w:type="gramEnd"/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ОБРАЗОВАНИЯ «</w:t>
      </w:r>
      <w:r w:rsidR="00CA24FE"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>АЛАРЬ</w:t>
      </w: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» на </w:t>
      </w:r>
      <w:r w:rsidR="00FC01A2">
        <w:rPr>
          <w:rFonts w:ascii="Arial" w:eastAsia="Times New Roman" w:hAnsi="Arial" w:cs="Arial"/>
          <w:b/>
          <w:bCs/>
          <w:color w:val="000000"/>
          <w:sz w:val="28"/>
          <w:szCs w:val="24"/>
        </w:rPr>
        <w:t>2023-2025</w:t>
      </w: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ГОДЫ</w:t>
      </w:r>
    </w:p>
    <w:p w:rsidR="00CA24FE" w:rsidRPr="00EF1B39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:rsidR="00CA24FE" w:rsidRDefault="00CA24FE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C01A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r w:rsidR="008E77C8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</w:t>
      </w:r>
      <w:r w:rsidR="00FC01A2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393"/>
      </w:tblGrid>
      <w:tr w:rsidR="00EF1B39" w:rsidRPr="009563F2" w:rsidTr="00EF1B3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9563F2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Муниципальная программа в области охраны окружающей среды и рационального природопользования на территории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 xml:space="preserve"> на </w:t>
            </w:r>
            <w:r w:rsidR="00FC01A2">
              <w:rPr>
                <w:rFonts w:ascii="Courier New" w:eastAsia="Times New Roman" w:hAnsi="Courier New" w:cs="Courier New"/>
              </w:rPr>
              <w:t>2023-2025</w:t>
            </w:r>
            <w:r w:rsidRPr="009563F2">
              <w:rPr>
                <w:rFonts w:ascii="Courier New" w:eastAsia="Times New Roman" w:hAnsi="Courier New" w:cs="Courier New"/>
              </w:rPr>
              <w:t xml:space="preserve"> годы (далее - Программа)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-повышение эффективности охраны окружающей среды на территории </w:t>
            </w:r>
            <w:r w:rsidR="009563F2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-формирование экологической культуры населения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Обеспечение экологической безопасности на территории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</w:t>
            </w:r>
            <w:r w:rsidRPr="009563F2">
              <w:rPr>
                <w:rFonts w:ascii="Courier New" w:eastAsia="Times New Roman" w:hAnsi="Courier New" w:cs="Courier New"/>
                <w:color w:val="FF0000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Обеспечение сохранения зеленых насаждений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>, их охрана и защита.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Организация информирования населения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  <w:r w:rsidRPr="009563F2">
              <w:rPr>
                <w:rFonts w:ascii="Courier New" w:eastAsia="Times New Roman" w:hAnsi="Courier New" w:cs="Courier New"/>
              </w:rPr>
              <w:t xml:space="preserve"> о состоянии окружающей среды, формирование экологической культуры.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FC01A2" w:rsidP="009563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EF1B39" w:rsidRPr="009563F2">
              <w:rPr>
                <w:rFonts w:ascii="Courier New" w:eastAsia="Times New Roman" w:hAnsi="Courier New" w:cs="Courier New"/>
              </w:rPr>
              <w:t xml:space="preserve"> – 202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EF1B39" w:rsidRPr="009563F2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1339">
              <w:rPr>
                <w:rFonts w:ascii="Courier New" w:eastAsia="Times New Roman" w:hAnsi="Courier New" w:cs="Courier New"/>
              </w:rPr>
              <w:t xml:space="preserve">- Общий объём финансирования Программы составляет </w:t>
            </w:r>
            <w:r w:rsidR="00A0374B" w:rsidRPr="00B11339">
              <w:rPr>
                <w:rFonts w:ascii="Courier New" w:eastAsia="Times New Roman" w:hAnsi="Courier New" w:cs="Courier New"/>
              </w:rPr>
              <w:t>180,00</w:t>
            </w:r>
            <w:r w:rsidRPr="00B11339">
              <w:rPr>
                <w:rFonts w:ascii="Courier New" w:eastAsia="Times New Roman" w:hAnsi="Courier New" w:cs="Courier New"/>
              </w:rPr>
              <w:t xml:space="preserve"> тыс. рублей, из них:</w:t>
            </w:r>
            <w:r w:rsidR="00CA24FE" w:rsidRPr="00B11339">
              <w:rPr>
                <w:rFonts w:ascii="Courier New" w:eastAsia="Times New Roman" w:hAnsi="Courier New" w:cs="Courier New"/>
              </w:rPr>
              <w:t xml:space="preserve"> </w:t>
            </w:r>
            <w:r w:rsidRPr="00B11339">
              <w:rPr>
                <w:rFonts w:ascii="Courier New" w:eastAsia="Times New Roman" w:hAnsi="Courier New" w:cs="Courier New"/>
              </w:rPr>
              <w:t xml:space="preserve">в </w:t>
            </w:r>
            <w:r w:rsidR="00A0374B" w:rsidRPr="00B11339">
              <w:rPr>
                <w:rFonts w:ascii="Courier New" w:eastAsia="Times New Roman" w:hAnsi="Courier New" w:cs="Courier New"/>
              </w:rPr>
              <w:t>2023 году – 150,00</w:t>
            </w:r>
            <w:r w:rsidRPr="00B11339">
              <w:rPr>
                <w:rFonts w:ascii="Courier New" w:eastAsia="Times New Roman" w:hAnsi="Courier New" w:cs="Courier New"/>
              </w:rPr>
              <w:t xml:space="preserve"> тыс. рублей</w:t>
            </w:r>
            <w:r w:rsidR="00CA24FE" w:rsidRPr="00B11339">
              <w:rPr>
                <w:rFonts w:ascii="Courier New" w:eastAsia="Times New Roman" w:hAnsi="Courier New" w:cs="Courier New"/>
              </w:rPr>
              <w:t xml:space="preserve"> </w:t>
            </w:r>
            <w:r w:rsidRPr="00B11339">
              <w:rPr>
                <w:rFonts w:ascii="Courier New" w:eastAsia="Times New Roman" w:hAnsi="Courier New" w:cs="Courier New"/>
              </w:rPr>
              <w:t xml:space="preserve">в </w:t>
            </w:r>
            <w:r w:rsidR="00A0374B" w:rsidRPr="00B11339">
              <w:rPr>
                <w:rFonts w:ascii="Courier New" w:eastAsia="Times New Roman" w:hAnsi="Courier New" w:cs="Courier New"/>
              </w:rPr>
              <w:t>2024</w:t>
            </w:r>
            <w:r w:rsidR="00E34B56" w:rsidRPr="00B11339">
              <w:rPr>
                <w:rFonts w:ascii="Courier New" w:eastAsia="Times New Roman" w:hAnsi="Courier New" w:cs="Courier New"/>
              </w:rPr>
              <w:t xml:space="preserve"> году – 2</w:t>
            </w:r>
            <w:r w:rsidR="00702915" w:rsidRPr="00B11339">
              <w:rPr>
                <w:rFonts w:ascii="Courier New" w:eastAsia="Times New Roman" w:hAnsi="Courier New" w:cs="Courier New"/>
              </w:rPr>
              <w:t>0</w:t>
            </w:r>
            <w:r w:rsidRPr="00B11339">
              <w:rPr>
                <w:rFonts w:ascii="Courier New" w:eastAsia="Times New Roman" w:hAnsi="Courier New" w:cs="Courier New"/>
              </w:rPr>
              <w:t>,0 тыс. рублей</w:t>
            </w:r>
            <w:r w:rsidR="009563F2" w:rsidRPr="00B11339">
              <w:rPr>
                <w:rFonts w:ascii="Courier New" w:eastAsia="Times New Roman" w:hAnsi="Courier New" w:cs="Courier New"/>
              </w:rPr>
              <w:t xml:space="preserve"> </w:t>
            </w:r>
            <w:r w:rsidRPr="00B11339">
              <w:rPr>
                <w:rFonts w:ascii="Courier New" w:eastAsia="Times New Roman" w:hAnsi="Courier New" w:cs="Courier New"/>
              </w:rPr>
              <w:t>в 202</w:t>
            </w:r>
            <w:r w:rsidR="00A0374B" w:rsidRPr="00B11339">
              <w:rPr>
                <w:rFonts w:ascii="Courier New" w:eastAsia="Times New Roman" w:hAnsi="Courier New" w:cs="Courier New"/>
              </w:rPr>
              <w:t>5 году – 10</w:t>
            </w:r>
            <w:r w:rsidR="00E34B56" w:rsidRPr="00B11339">
              <w:rPr>
                <w:rFonts w:ascii="Courier New" w:eastAsia="Times New Roman" w:hAnsi="Courier New" w:cs="Courier New"/>
              </w:rPr>
              <w:t>,0</w:t>
            </w:r>
            <w:r w:rsidRPr="00B11339">
              <w:rPr>
                <w:rFonts w:ascii="Courier New" w:eastAsia="Times New Roman" w:hAnsi="Courier New" w:cs="Courier New"/>
              </w:rPr>
              <w:t xml:space="preserve"> тыс. рублей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Увеличение площади зеленых насаждений;</w:t>
            </w:r>
          </w:p>
          <w:p w:rsidR="00CA24FE" w:rsidRPr="009563F2" w:rsidRDefault="00CA24F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235744">
              <w:rPr>
                <w:rFonts w:ascii="Courier New" w:eastAsia="Times New Roman" w:hAnsi="Courier New" w:cs="Courier New"/>
              </w:rPr>
              <w:t>- У</w:t>
            </w:r>
            <w:r w:rsidR="00235744">
              <w:rPr>
                <w:rFonts w:ascii="Courier New" w:eastAsia="Times New Roman" w:hAnsi="Courier New" w:cs="Courier New"/>
              </w:rPr>
              <w:t>меньшение образования неконтролируемых</w:t>
            </w:r>
            <w:r w:rsidRPr="00235744">
              <w:rPr>
                <w:rFonts w:ascii="Courier New" w:eastAsia="Times New Roman" w:hAnsi="Courier New" w:cs="Courier New"/>
              </w:rPr>
              <w:t xml:space="preserve"> отходов</w:t>
            </w:r>
            <w:r w:rsidR="00235744" w:rsidRPr="00235744">
              <w:rPr>
                <w:rFonts w:ascii="Courier New" w:eastAsia="Times New Roman" w:hAnsi="Courier New" w:cs="Courier New"/>
              </w:rPr>
              <w:t>;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Повышение уровня экологического просвещения и образования.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Система организации </w:t>
            </w:r>
            <w:proofErr w:type="gramStart"/>
            <w:r w:rsidRPr="009563F2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9563F2">
              <w:rPr>
                <w:rFonts w:ascii="Courier New" w:eastAsia="Times New Roman" w:hAnsi="Courier New" w:cs="Courier New"/>
              </w:rPr>
              <w:t xml:space="preserve">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</w:t>
            </w:r>
            <w:proofErr w:type="gramStart"/>
            <w:r w:rsidRPr="009563F2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9563F2">
              <w:rPr>
                <w:rFonts w:ascii="Courier New" w:eastAsia="Times New Roman" w:hAnsi="Courier New" w:cs="Courier New"/>
              </w:rPr>
              <w:t xml:space="preserve"> реализацией Программы осуществляет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</w:rPr>
              <w:t>Аларь</w:t>
            </w:r>
            <w:r w:rsidR="009563F2">
              <w:rPr>
                <w:rFonts w:ascii="Courier New" w:eastAsia="Times New Roman" w:hAnsi="Courier New" w:cs="Courier New"/>
              </w:rPr>
              <w:t>»</w:t>
            </w:r>
          </w:p>
        </w:tc>
      </w:tr>
    </w:tbl>
    <w:p w:rsidR="00EF1B39" w:rsidRPr="00EF1B39" w:rsidRDefault="00EF1B39" w:rsidP="00EF1B3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A24FE" w:rsidRDefault="00CA24FE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</w:p>
    <w:p w:rsidR="00EF1B39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обоснование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необходимости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её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программными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методами</w:t>
      </w:r>
    </w:p>
    <w:p w:rsidR="00CA24FE" w:rsidRPr="00EF1B39" w:rsidRDefault="00CA24FE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экономики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вопросы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приобретают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значение.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момент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удовлетворительной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Жизненно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необходимым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существования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человека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приумножение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воспитания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детей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подростков,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залогом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аспектах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получение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достоверной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произойдет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радикальных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сознании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поведении.</w:t>
      </w:r>
    </w:p>
    <w:p w:rsid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указанных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проблем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программа.</w:t>
      </w:r>
    </w:p>
    <w:p w:rsidR="00CA24FE" w:rsidRPr="00EF1B39" w:rsidRDefault="00CA24FE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</w:t>
      </w:r>
    </w:p>
    <w:p w:rsidR="00EF1B39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CA24FE" w:rsidRPr="00EF1B39" w:rsidRDefault="00CA24FE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биологического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разнообразия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уникальных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объектов,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Задачами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числе: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снижение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чрезвычайных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техногенного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защиты,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многоцелевого,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непрерывного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воспроизводства;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системы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культуры.</w:t>
      </w:r>
    </w:p>
    <w:p w:rsid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период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374B">
        <w:rPr>
          <w:rFonts w:ascii="Arial" w:eastAsia="Times New Roman" w:hAnsi="Arial" w:cs="Arial"/>
          <w:color w:val="000000"/>
          <w:sz w:val="24"/>
          <w:szCs w:val="24"/>
        </w:rPr>
        <w:t>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374B">
        <w:rPr>
          <w:rFonts w:ascii="Arial" w:eastAsia="Times New Roman" w:hAnsi="Arial" w:cs="Arial"/>
          <w:color w:val="000000"/>
          <w:sz w:val="24"/>
          <w:szCs w:val="24"/>
        </w:rPr>
        <w:t>2025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включительно.</w:t>
      </w:r>
    </w:p>
    <w:p w:rsidR="00CA24FE" w:rsidRPr="00EF1B39" w:rsidRDefault="00CA24FE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IV</w:t>
      </w: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механизм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CA24FE" w:rsidRDefault="00CA24FE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основе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договоров,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заключаемых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установленном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исполнителями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(мероприятия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обозначены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01A2">
        <w:rPr>
          <w:rFonts w:ascii="Arial" w:eastAsia="Times New Roman" w:hAnsi="Arial" w:cs="Arial"/>
          <w:color w:val="000000"/>
          <w:sz w:val="24"/>
          <w:szCs w:val="24"/>
        </w:rPr>
        <w:t>2023-2025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случаев,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действующим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законодательством.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уточняют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готовят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внесению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исполнения.</w:t>
      </w:r>
    </w:p>
    <w:p w:rsidR="00CA24FE" w:rsidRDefault="00CA24FE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</w:p>
    <w:p w:rsidR="00EF1B39" w:rsidRDefault="00EF1B39" w:rsidP="00CA24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CA24FE" w:rsidRPr="00EF1B39" w:rsidRDefault="00CA24FE" w:rsidP="00CA24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12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несёт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качественное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своевременное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ресурсов,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выделяемых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содержать:</w:t>
      </w:r>
      <w:r w:rsidR="00E12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фактически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произведенных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расходов,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финансирования;</w:t>
      </w:r>
      <w:r w:rsidR="00E126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Программе;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процент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завершения;</w:t>
      </w:r>
    </w:p>
    <w:p w:rsidR="00E12666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анализ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причин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несвоевременного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привлечении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дополнительных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способах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достижения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либо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прекращении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дальнейшей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</w:p>
    <w:p w:rsidR="00E12666" w:rsidRDefault="00E12666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EF1B39" w:rsidP="00E12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</w:p>
    <w:p w:rsidR="00EF1B39" w:rsidRDefault="00EF1B39" w:rsidP="00E12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эффективности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E12666" w:rsidRPr="00EF1B39" w:rsidRDefault="00E12666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обеспечено: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увеличение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площади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ежегодно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создаваемых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насаждений;</w:t>
      </w:r>
    </w:p>
    <w:p w:rsidR="00EF1B39" w:rsidRPr="00EF1B39" w:rsidRDefault="00E12666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просвещения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EF1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B39"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образования.</w:t>
      </w: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9563F2" w:rsidSect="0095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Приложение N 1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целевой программе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природопользования на </w:t>
      </w:r>
      <w:r w:rsidR="00FC01A2">
        <w:rPr>
          <w:rFonts w:ascii="Courier New" w:eastAsia="Times New Roman" w:hAnsi="Courier New" w:cs="Courier New"/>
          <w:color w:val="000000"/>
          <w:sz w:val="20"/>
          <w:szCs w:val="20"/>
        </w:rPr>
        <w:t>2023-2025</w:t>
      </w: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9563F2" w:rsidRDefault="009563F2" w:rsidP="00EF1B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СМЕТА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ФИНАНСИРОВАНИЯ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C01A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2023-2025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684"/>
        <w:gridCol w:w="2976"/>
        <w:gridCol w:w="1701"/>
        <w:gridCol w:w="1984"/>
        <w:gridCol w:w="854"/>
        <w:gridCol w:w="854"/>
        <w:gridCol w:w="638"/>
        <w:gridCol w:w="638"/>
        <w:gridCol w:w="709"/>
        <w:gridCol w:w="709"/>
      </w:tblGrid>
      <w:tr w:rsidR="00692D97" w:rsidRPr="00612788" w:rsidTr="0045423E">
        <w:trPr>
          <w:trHeight w:val="405"/>
        </w:trPr>
        <w:tc>
          <w:tcPr>
            <w:tcW w:w="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N</w:t>
            </w:r>
          </w:p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612788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3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Наименование   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Единица измерения</w:t>
            </w:r>
          </w:p>
        </w:tc>
        <w:tc>
          <w:tcPr>
            <w:tcW w:w="638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Предельные объемы финансирования</w:t>
            </w:r>
          </w:p>
        </w:tc>
      </w:tr>
      <w:tr w:rsidR="00692D97" w:rsidRPr="00612788" w:rsidTr="0045423E">
        <w:trPr>
          <w:trHeight w:val="390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На весь период реализации программы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всего</w:t>
            </w:r>
          </w:p>
        </w:tc>
        <w:tc>
          <w:tcPr>
            <w:tcW w:w="440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в том числе по годам</w:t>
            </w:r>
          </w:p>
        </w:tc>
      </w:tr>
      <w:tr w:rsidR="00692D97" w:rsidRPr="00612788" w:rsidTr="0045423E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A0374B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A0374B">
              <w:rPr>
                <w:rFonts w:ascii="Courier New" w:eastAsia="Times New Roman" w:hAnsi="Courier New" w:cs="Courier New"/>
                <w:color w:val="000000"/>
              </w:rPr>
              <w:t>24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A0374B">
              <w:rPr>
                <w:rFonts w:ascii="Courier New" w:eastAsia="Times New Roman" w:hAnsi="Courier New" w:cs="Courier New"/>
                <w:color w:val="000000"/>
              </w:rPr>
              <w:t>25</w:t>
            </w:r>
          </w:p>
        </w:tc>
      </w:tr>
      <w:tr w:rsidR="00692D97" w:rsidRPr="00612788" w:rsidTr="0045423E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854" w:type="dxa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638" w:type="dxa"/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709" w:type="dxa"/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</w:tr>
      <w:tr w:rsidR="00692D97" w:rsidRPr="00612788" w:rsidTr="0045423E">
        <w:trPr>
          <w:trHeight w:val="225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692D97" w:rsidRPr="00612788" w:rsidRDefault="00692D97" w:rsidP="00EF1B39">
            <w:pPr>
              <w:spacing w:before="150" w:after="15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45423E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350B48" w:rsidP="0045423E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Приобретение аншлагов (информационных щитов)возле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.У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>лзет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на границах особо охраняемой природной территории регионального значения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Баторова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роща»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B11339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150</w:t>
            </w:r>
            <w:r w:rsidR="00350B4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Pr="00612788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350B48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150,0</w:t>
            </w: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9C0D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350B48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692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638" w:type="dxa"/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</w:tc>
      </w:tr>
      <w:tr w:rsidR="0045423E" w:rsidRPr="00612788" w:rsidTr="0045423E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применение административной практики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2403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45423E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  <w:proofErr w:type="gram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4D7C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директор, учителя МБОУ </w:t>
            </w:r>
            <w:r>
              <w:rPr>
                <w:rFonts w:ascii="Courier New" w:eastAsia="Times New Roman" w:hAnsi="Courier New" w:cs="Courier New"/>
                <w:color w:val="000000"/>
              </w:rPr>
              <w:t>Аларская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СОШ  (по согласованию), </w:t>
            </w:r>
            <w:r>
              <w:rPr>
                <w:rFonts w:ascii="Courier New" w:eastAsia="Times New Roman" w:hAnsi="Courier New" w:cs="Courier New"/>
                <w:color w:val="000000"/>
              </w:rPr>
              <w:t>МБУК «ИКЦ» МО «Аларь»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(по согласованию)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9B63F7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Проведение рейдов по выявлению свалочных очагов на территории поселения: в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лесополосах, придорожных полосах, карьерах, применение административной практики.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участковый уполномоченный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790AF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5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школьники, жители поселения.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тыс. рублей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350B4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45423E"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350B4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45423E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350B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460753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Осуществление мероприятий </w:t>
            </w: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</w:rPr>
              <w:t>по</w:t>
            </w:r>
            <w:proofErr w:type="gramEnd"/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экологических субботников с привлечением жителей поселения по уборке: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</w:rPr>
              <w:t>прилегающих</w:t>
            </w:r>
            <w:proofErr w:type="gramEnd"/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к организациям и придомовым территориям;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кладбища.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работники учреждений, организаций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расположенных на территории поселения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350B4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45423E">
              <w:rPr>
                <w:rFonts w:ascii="Courier New" w:eastAsia="Times New Roman" w:hAnsi="Courier New" w:cs="Courier New"/>
                <w:color w:val="000000"/>
              </w:rPr>
              <w:t>0</w:t>
            </w:r>
            <w:r w:rsidR="0045423E"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7029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7029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</w:tr>
      <w:tr w:rsidR="0045423E" w:rsidRPr="00612788" w:rsidTr="00365822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7.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Публикация в Вестнике нормативно правовых документов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 и размещение  на официальном сайте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ED498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CD1D73" w:rsidP="00E34B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CD1D73" w:rsidP="00CD1D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150,0</w:t>
            </w:r>
          </w:p>
        </w:tc>
        <w:tc>
          <w:tcPr>
            <w:tcW w:w="854" w:type="dxa"/>
            <w:vAlign w:val="center"/>
          </w:tcPr>
          <w:p w:rsidR="0045423E" w:rsidRPr="00612788" w:rsidRDefault="00350B48" w:rsidP="00CD1D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A355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A355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350B48" w:rsidP="004725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45423E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0FA7" w:rsidRDefault="002D0FA7" w:rsidP="002D0FA7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5FB8" w:rsidRDefault="002D0FA7" w:rsidP="002D0FA7">
      <w:pPr>
        <w:tabs>
          <w:tab w:val="left" w:pos="11637"/>
          <w:tab w:val="right" w:pos="1457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F1B39"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N 2</w:t>
      </w:r>
    </w:p>
    <w:p w:rsidR="00DA5FB8" w:rsidRPr="00DA5FB8" w:rsidRDefault="00EF1B39" w:rsidP="002D0FA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целевой программе</w:t>
      </w:r>
    </w:p>
    <w:p w:rsidR="00DA5FB8" w:rsidRPr="00DA5FB8" w:rsidRDefault="00EF1B39" w:rsidP="002D0FA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 и</w:t>
      </w:r>
    </w:p>
    <w:p w:rsidR="00DA5FB8" w:rsidRDefault="00EF1B39" w:rsidP="002D0FA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природопользования на </w:t>
      </w:r>
      <w:r w:rsidR="00CD1D73">
        <w:rPr>
          <w:rFonts w:ascii="Courier New" w:eastAsia="Times New Roman" w:hAnsi="Courier New" w:cs="Courier New"/>
          <w:color w:val="000000"/>
          <w:sz w:val="20"/>
          <w:szCs w:val="20"/>
        </w:rPr>
        <w:t>2023-2025</w:t>
      </w: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4D7C44" w:rsidRPr="00DA5FB8" w:rsidRDefault="004D7C44" w:rsidP="004D7C4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F1B39" w:rsidRDefault="00EF1B39" w:rsidP="004D7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Отчет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ходе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  <w:r w:rsidR="00B64E7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DA5F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D1D73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2023-2025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  <w:r w:rsidR="00DA5F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_______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год</w:t>
      </w:r>
    </w:p>
    <w:p w:rsidR="004D7C44" w:rsidRPr="00EF1B39" w:rsidRDefault="004D7C44" w:rsidP="00EF1B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276"/>
        <w:gridCol w:w="1134"/>
        <w:gridCol w:w="1134"/>
        <w:gridCol w:w="1134"/>
        <w:gridCol w:w="1134"/>
        <w:gridCol w:w="3969"/>
      </w:tblGrid>
      <w:tr w:rsidR="00EF1B39" w:rsidRPr="00612788" w:rsidTr="004D7C44">
        <w:tc>
          <w:tcPr>
            <w:tcW w:w="5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C44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№</w:t>
            </w:r>
          </w:p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</w:t>
            </w:r>
            <w:proofErr w:type="gramEnd"/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4820" w:type="dxa"/>
            <w:gridSpan w:val="4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Освоено средств, 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Целевые индикаторы и показатели эффективности реализации Программы</w:t>
            </w:r>
          </w:p>
        </w:tc>
        <w:tc>
          <w:tcPr>
            <w:tcW w:w="3969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Полученный результат и эффективность реализации мероприятия</w:t>
            </w:r>
          </w:p>
        </w:tc>
      </w:tr>
      <w:tr w:rsidR="00EF1B39" w:rsidRPr="00612788" w:rsidTr="004D7C44">
        <w:tc>
          <w:tcPr>
            <w:tcW w:w="56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С начала реализации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За отчетный период</w:t>
            </w:r>
          </w:p>
        </w:tc>
        <w:tc>
          <w:tcPr>
            <w:tcW w:w="2268" w:type="dxa"/>
            <w:gridSpan w:val="2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F1B39" w:rsidRPr="00612788" w:rsidTr="004D7C44">
        <w:tc>
          <w:tcPr>
            <w:tcW w:w="56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3969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9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информационная работа с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населением;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-применение административной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обследование состояния зеленых насаждений, вырубка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сухостойных и аварийно-опасных деревьев и кустарников, санитарная обрезка;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Осуществление мероприятий </w:t>
            </w: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</w:rPr>
              <w:t>по</w:t>
            </w:r>
            <w:proofErr w:type="gramEnd"/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 экологических субботников с привлечением жителей поселения по уборке: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proofErr w:type="gramStart"/>
            <w:r w:rsidRPr="00612788">
              <w:rPr>
                <w:rFonts w:ascii="Courier New" w:eastAsia="Times New Roman" w:hAnsi="Courier New" w:cs="Courier New"/>
                <w:color w:val="000000"/>
              </w:rPr>
              <w:t>прилегающих</w:t>
            </w:r>
            <w:proofErr w:type="gramEnd"/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к организациям и придомовым территориям;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Публикация в Вестнике нормативно правовых документов 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и размещение  на официальном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сайте администрации 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</w:t>
            </w:r>
            <w:r w:rsidR="00CA24FE"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4D7C44">
        <w:tc>
          <w:tcPr>
            <w:tcW w:w="439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</w:tbl>
    <w:p w:rsidR="00EF1B39" w:rsidRPr="00EF1B39" w:rsidRDefault="00EF1B3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sectPr w:rsidR="00EF1B39" w:rsidRPr="00EF1B39" w:rsidSect="009563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7A" w:rsidRDefault="00F7487A" w:rsidP="007F3471">
      <w:pPr>
        <w:spacing w:after="0" w:line="240" w:lineRule="auto"/>
      </w:pPr>
      <w:r>
        <w:separator/>
      </w:r>
    </w:p>
  </w:endnote>
  <w:endnote w:type="continuationSeparator" w:id="0">
    <w:p w:rsidR="00F7487A" w:rsidRDefault="00F7487A" w:rsidP="007F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7A" w:rsidRDefault="00F7487A" w:rsidP="007F3471">
      <w:pPr>
        <w:spacing w:after="0" w:line="240" w:lineRule="auto"/>
      </w:pPr>
      <w:r>
        <w:separator/>
      </w:r>
    </w:p>
  </w:footnote>
  <w:footnote w:type="continuationSeparator" w:id="0">
    <w:p w:rsidR="00F7487A" w:rsidRDefault="00F7487A" w:rsidP="007F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B39"/>
    <w:rsid w:val="00180BC5"/>
    <w:rsid w:val="00212350"/>
    <w:rsid w:val="00235744"/>
    <w:rsid w:val="002B4333"/>
    <w:rsid w:val="002D0FA7"/>
    <w:rsid w:val="00350B48"/>
    <w:rsid w:val="003A43B2"/>
    <w:rsid w:val="003C433C"/>
    <w:rsid w:val="003F30B4"/>
    <w:rsid w:val="0045423E"/>
    <w:rsid w:val="0048721B"/>
    <w:rsid w:val="004D7C44"/>
    <w:rsid w:val="005D6A54"/>
    <w:rsid w:val="00612788"/>
    <w:rsid w:val="00692D97"/>
    <w:rsid w:val="006C452D"/>
    <w:rsid w:val="00702915"/>
    <w:rsid w:val="007F3471"/>
    <w:rsid w:val="0084140A"/>
    <w:rsid w:val="008A7F18"/>
    <w:rsid w:val="008B0BC4"/>
    <w:rsid w:val="008E77C8"/>
    <w:rsid w:val="009563F2"/>
    <w:rsid w:val="009614F4"/>
    <w:rsid w:val="009E2586"/>
    <w:rsid w:val="009E7740"/>
    <w:rsid w:val="00A0374B"/>
    <w:rsid w:val="00A35548"/>
    <w:rsid w:val="00B11339"/>
    <w:rsid w:val="00B40A2C"/>
    <w:rsid w:val="00B64E7F"/>
    <w:rsid w:val="00CA24FE"/>
    <w:rsid w:val="00CD1D73"/>
    <w:rsid w:val="00D45F74"/>
    <w:rsid w:val="00DA5FB8"/>
    <w:rsid w:val="00DC3E8B"/>
    <w:rsid w:val="00E12666"/>
    <w:rsid w:val="00E34B56"/>
    <w:rsid w:val="00EF1B39"/>
    <w:rsid w:val="00F02F82"/>
    <w:rsid w:val="00F26046"/>
    <w:rsid w:val="00F7487A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eading90">
    <w:name w:val="msoheading9"/>
    <w:basedOn w:val="a0"/>
    <w:rsid w:val="00EF1B39"/>
  </w:style>
  <w:style w:type="character" w:customStyle="1" w:styleId="msonormal0">
    <w:name w:val="msonormal"/>
    <w:basedOn w:val="a0"/>
    <w:rsid w:val="00EF1B39"/>
  </w:style>
  <w:style w:type="paragraph" w:styleId="a3">
    <w:name w:val="header"/>
    <w:basedOn w:val="a"/>
    <w:link w:val="a4"/>
    <w:uiPriority w:val="99"/>
    <w:semiHidden/>
    <w:unhideWhenUsed/>
    <w:rsid w:val="007F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71"/>
  </w:style>
  <w:style w:type="paragraph" w:styleId="a5">
    <w:name w:val="footer"/>
    <w:basedOn w:val="a"/>
    <w:link w:val="a6"/>
    <w:uiPriority w:val="99"/>
    <w:semiHidden/>
    <w:unhideWhenUsed/>
    <w:rsid w:val="007F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71"/>
  </w:style>
  <w:style w:type="paragraph" w:styleId="a7">
    <w:name w:val="List Paragraph"/>
    <w:basedOn w:val="a"/>
    <w:uiPriority w:val="34"/>
    <w:qFormat/>
    <w:rsid w:val="008B0BC4"/>
    <w:pPr>
      <w:ind w:left="720"/>
      <w:contextualSpacing/>
    </w:pPr>
  </w:style>
  <w:style w:type="paragraph" w:customStyle="1" w:styleId="a8">
    <w:name w:val="Знак Знак Знак Знак"/>
    <w:basedOn w:val="a"/>
    <w:rsid w:val="008B0BC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1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Пользователь Windows</cp:lastModifiedBy>
  <cp:revision>15</cp:revision>
  <cp:lastPrinted>2023-11-02T02:25:00Z</cp:lastPrinted>
  <dcterms:created xsi:type="dcterms:W3CDTF">2018-10-04T07:05:00Z</dcterms:created>
  <dcterms:modified xsi:type="dcterms:W3CDTF">2023-11-02T02:25:00Z</dcterms:modified>
</cp:coreProperties>
</file>