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03.02.2017 г. № 9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 «АЛАРЬ»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82578" w:rsidRDefault="00382578" w:rsidP="0038257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МУНИЦИПАЛЬНЫМ БЮДЖЕТНЫМ УЧРЕЖДЕНИЕМ КУЛЬТУРЫ «ИНФОРМАЦИОННО-КУЛЬТУРНЫЙ ЦЕНТР» МУНИЦИПАЛЬНОГО ОБРАЗОВАНИЯ «АЛАРЬ» МУНИЦИПАЛЬНОЙ УСЛУГИ (РАБОТЫ) «ОРГАНИЗАЦИЯ И ПРОВЕДЕНИЕ КУЛЬТУРНО-МАССОВЫХ МЕРОПРИЯТИЙ (КУЛЬТУРНО-МАССОВЫХ (ИНЫЕ ЗРЕЛИЩНЫЕ МЕРОПРИЯТИЯ)»</w:t>
      </w:r>
      <w:proofErr w:type="gramEnd"/>
    </w:p>
    <w:p w:rsidR="00382578" w:rsidRDefault="00382578" w:rsidP="00382578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2578" w:rsidRDefault="00382578" w:rsidP="0038257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proofErr w:type="gramEnd"/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82578" w:rsidRDefault="00382578" w:rsidP="00382578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ПОСТАНОВЛЯЮ:</w:t>
      </w:r>
    </w:p>
    <w:p w:rsidR="00382578" w:rsidRDefault="00382578" w:rsidP="0038257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2578" w:rsidRDefault="00382578" w:rsidP="0038257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муниципальным бюджетным учреждением культуры «Информационно-культурный центр»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муниципальной услуги (работы) «Организация и проведение культурно-массовых мероприятий (Культурно-массовых (иные зрелищные мероприятия)» (приложение).</w:t>
      </w:r>
      <w:proofErr w:type="gramEnd"/>
    </w:p>
    <w:p w:rsidR="00382578" w:rsidRDefault="00382578" w:rsidP="0038257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2.Отменить постановление от 10.02.2016 № 17 «Об утверждении административного регламента  по предоставлению муниципальным бюджетным учреждением культуры «Информационно-культурный центр»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муниципальной услуги (работы) «Организация и проведение праздников и народных гуляний»</w:t>
      </w:r>
    </w:p>
    <w:p w:rsidR="00382578" w:rsidRDefault="00382578" w:rsidP="00382578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2.Опубликовать настоящее постановление с приложением в информационном бюллетене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http://аларь.рф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82578" w:rsidRDefault="00382578" w:rsidP="00382578">
      <w:pPr>
        <w:spacing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директора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Михайлову Н.А.</w:t>
      </w:r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Аларь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»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А.В.Батаева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82578" w:rsidRDefault="00382578" w:rsidP="00382578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к постановлению</w:t>
      </w:r>
    </w:p>
    <w:p w:rsidR="00382578" w:rsidRDefault="00382578" w:rsidP="00382578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                                      главы </w:t>
      </w:r>
      <w:proofErr w:type="gramStart"/>
      <w:r>
        <w:rPr>
          <w:rFonts w:ascii="Courier New" w:eastAsia="Calibri" w:hAnsi="Courier New" w:cs="Courier New"/>
        </w:rPr>
        <w:t>муниципального</w:t>
      </w:r>
      <w:proofErr w:type="gramEnd"/>
    </w:p>
    <w:p w:rsidR="00382578" w:rsidRDefault="00382578" w:rsidP="00382578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образования «</w:t>
      </w:r>
      <w:proofErr w:type="spellStart"/>
      <w:r>
        <w:rPr>
          <w:rFonts w:ascii="Courier New" w:eastAsia="Calibri" w:hAnsi="Courier New" w:cs="Courier New"/>
        </w:rPr>
        <w:t>Аларь</w:t>
      </w:r>
      <w:proofErr w:type="spellEnd"/>
      <w:r>
        <w:rPr>
          <w:rFonts w:ascii="Courier New" w:eastAsia="Calibri" w:hAnsi="Courier New" w:cs="Courier New"/>
        </w:rPr>
        <w:t>»                                                                                                        от 03.02.2017 г.№ 9</w:t>
      </w:r>
    </w:p>
    <w:p w:rsidR="00382578" w:rsidRDefault="00382578" w:rsidP="00382578">
      <w:pPr>
        <w:spacing w:after="0" w:line="240" w:lineRule="auto"/>
        <w:jc w:val="center"/>
        <w:rPr>
          <w:rFonts w:ascii="Courier New" w:eastAsia="Calibri" w:hAnsi="Courier New" w:cs="Courier New"/>
        </w:rPr>
      </w:pPr>
    </w:p>
    <w:p w:rsidR="00382578" w:rsidRDefault="00382578" w:rsidP="0038257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Административный регламент предоставления</w:t>
      </w:r>
    </w:p>
    <w:p w:rsidR="00382578" w:rsidRDefault="00382578" w:rsidP="0038257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 </w:t>
      </w:r>
      <w:proofErr w:type="gramStart"/>
      <w:r>
        <w:rPr>
          <w:rFonts w:ascii="Arial" w:eastAsia="Calibri" w:hAnsi="Arial" w:cs="Arial"/>
          <w:b/>
          <w:sz w:val="30"/>
          <w:szCs w:val="30"/>
        </w:rPr>
        <w:t>муниципальной услуги (работы)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по организации и проведению культурно-массовых мероприятий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30"/>
          <w:szCs w:val="30"/>
          <w:lang w:eastAsia="ru-RU"/>
        </w:rPr>
        <w:t>(Культурно-массовых (иные зрелищные мероприятия)</w:t>
      </w:r>
      <w:proofErr w:type="gramEnd"/>
    </w:p>
    <w:p w:rsidR="00382578" w:rsidRDefault="00382578" w:rsidP="00382578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I. Общие положения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>
        <w:rPr>
          <w:rFonts w:ascii="Arial" w:eastAsia="Calibri" w:hAnsi="Arial" w:cs="Arial"/>
          <w:sz w:val="24"/>
          <w:szCs w:val="24"/>
        </w:rPr>
        <w:t>Административный регламент исполнения муниципальной услуги по организации и проведению культурно-массовых мероприятий (Культурно-массовы</w:t>
      </w:r>
      <w:r>
        <w:rPr>
          <w:rFonts w:ascii="Arial" w:eastAsia="Calibri" w:hAnsi="Arial" w:cs="Arial"/>
          <w:sz w:val="24"/>
          <w:szCs w:val="24"/>
        </w:rPr>
        <w:t xml:space="preserve">х (иные зрелищные мероприятия) (далее -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муниципальная услуга (работа)) разработан в целях повышения качества исполнения, определения сроков, последовательности действий (административных процедур) при предоставлении муниципальной услуги (работы).</w:t>
      </w:r>
      <w:proofErr w:type="gramEnd"/>
    </w:p>
    <w:p w:rsidR="00382578" w:rsidRDefault="00382578" w:rsidP="00382578">
      <w:pPr>
        <w:tabs>
          <w:tab w:val="left" w:pos="426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2. Нормативно-правовые акты, регулирующие предоставление муниципальной услуги (работы).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Предоставление муниципальной услуги (работы) осуществляется в соответствии со следующими нормативными правовыми актами: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Конституц</w:t>
      </w:r>
      <w:r>
        <w:rPr>
          <w:rFonts w:ascii="Arial" w:eastAsia="Calibri" w:hAnsi="Arial" w:cs="Arial"/>
          <w:sz w:val="24"/>
          <w:szCs w:val="24"/>
        </w:rPr>
        <w:t>ия Российской Федерации ст. 44;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Федеральный закон от 6  октября 2003 года № 131-ФЗ «Об общих принципах организации</w:t>
      </w:r>
      <w:r>
        <w:rPr>
          <w:rFonts w:ascii="Arial" w:eastAsia="Calibri" w:hAnsi="Arial" w:cs="Arial"/>
          <w:sz w:val="24"/>
          <w:szCs w:val="24"/>
        </w:rPr>
        <w:t xml:space="preserve"> местного самоуправления в РФ»;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Основы законодательства РФ о культуре: Закон № 3612-1 от 9 октября 1992 года ст. 40; 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Приказ министерства культуры и массовых коммуникаций Российской Федерации от 20 февраля 2008 года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Модельные стандарты </w:t>
      </w:r>
      <w:proofErr w:type="gramStart"/>
      <w:r>
        <w:rPr>
          <w:rFonts w:ascii="Arial" w:eastAsia="Calibri" w:hAnsi="Arial" w:cs="Arial"/>
          <w:sz w:val="24"/>
          <w:szCs w:val="24"/>
        </w:rPr>
        <w:t>деятельности учреждений культуры муниципальных образований Иркутской области</w:t>
      </w:r>
      <w:proofErr w:type="gramEnd"/>
      <w:r>
        <w:rPr>
          <w:rFonts w:ascii="Arial" w:eastAsia="Calibri" w:hAnsi="Arial" w:cs="Arial"/>
          <w:sz w:val="24"/>
          <w:szCs w:val="24"/>
        </w:rPr>
        <w:t>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Устав МО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»;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Положение о комитете по культуре администрации МО «</w:t>
      </w:r>
      <w:proofErr w:type="spellStart"/>
      <w:r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Устав муниципального бюджетного учреждения культуры «Информационн</w:t>
      </w:r>
      <w:proofErr w:type="gramStart"/>
      <w:r>
        <w:rPr>
          <w:rFonts w:ascii="Arial" w:eastAsia="Calibri" w:hAnsi="Arial" w:cs="Arial"/>
          <w:sz w:val="24"/>
          <w:szCs w:val="24"/>
        </w:rPr>
        <w:t>о-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культурный Центр »;</w:t>
      </w:r>
    </w:p>
    <w:p w:rsidR="00382578" w:rsidRDefault="00382578" w:rsidP="00382578">
      <w:pPr>
        <w:widowControl w:val="0"/>
        <w:tabs>
          <w:tab w:val="decimal" w:pos="284"/>
        </w:tabs>
        <w:suppressAutoHyphens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Локальные акты МБУК «Информационно-культурный центр», регламентирующие культурно-досуговую деятельность.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3.Заказчиком муниципальной услуги (работы) является орган местного самоуправления – администрация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 муниципальной услуги является муниципальное бюджетное учреждение культуры «Информационно - культурный центр».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4.Сведения о получателях муниципальных услуг: получателями услуг культурно-досугового учреждения являются все субъекты </w:t>
      </w:r>
      <w:proofErr w:type="spellStart"/>
      <w:r>
        <w:rPr>
          <w:rFonts w:ascii="Arial" w:eastAsia="Calibri" w:hAnsi="Arial" w:cs="Arial"/>
          <w:sz w:val="24"/>
          <w:szCs w:val="24"/>
        </w:rPr>
        <w:t>гражданско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правовых отношений (далее - Заявитель).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Заявителями, имеющими право на получение Муниципальной услуги, могут являться: </w:t>
      </w:r>
    </w:p>
    <w:p w:rsidR="00382578" w:rsidRDefault="00382578" w:rsidP="00382578">
      <w:pPr>
        <w:widowControl w:val="0"/>
        <w:tabs>
          <w:tab w:val="left" w:pos="709"/>
          <w:tab w:val="left" w:pos="3545"/>
          <w:tab w:val="left" w:pos="3970"/>
          <w:tab w:val="left" w:pos="4254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граждане Российской Федерации;</w:t>
      </w:r>
    </w:p>
    <w:p w:rsidR="00382578" w:rsidRDefault="00382578" w:rsidP="00382578">
      <w:pPr>
        <w:widowControl w:val="0"/>
        <w:tabs>
          <w:tab w:val="left" w:pos="567"/>
          <w:tab w:val="left" w:pos="3545"/>
          <w:tab w:val="left" w:pos="3970"/>
          <w:tab w:val="left" w:pos="4254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иностранные граждане и лица без гражданства;</w:t>
      </w:r>
    </w:p>
    <w:p w:rsidR="00382578" w:rsidRDefault="00382578" w:rsidP="00382578">
      <w:pPr>
        <w:widowControl w:val="0"/>
        <w:tabs>
          <w:tab w:val="left" w:pos="567"/>
          <w:tab w:val="left" w:pos="3545"/>
          <w:tab w:val="left" w:pos="3970"/>
          <w:tab w:val="left" w:pos="4254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российские и иностранные юридические лица.</w:t>
      </w:r>
    </w:p>
    <w:p w:rsidR="00382578" w:rsidRDefault="00382578" w:rsidP="00382578">
      <w:pPr>
        <w:widowControl w:val="0"/>
        <w:tabs>
          <w:tab w:val="left" w:pos="567"/>
          <w:tab w:val="left" w:pos="18321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юридические лица, действующие в соответствии с законом, иными правовыми актами и учредительными документами.</w:t>
      </w:r>
    </w:p>
    <w:p w:rsidR="00382578" w:rsidRDefault="00382578" w:rsidP="00382578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Муниципальная услуга (работа) предоставляется бесплатно.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2578" w:rsidRDefault="00382578" w:rsidP="003825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II. Требования к порядку предоставления</w:t>
      </w:r>
    </w:p>
    <w:p w:rsidR="00382578" w:rsidRDefault="00382578" w:rsidP="00382578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муниципальной услуги (работы).</w:t>
      </w: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 Порядок информирования заинтересованных лиц о предоставлении муниципальной услуги (работы):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Информация о порядке оказания муниципальной услуги (работы) предоставляется учреждением культуры: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 непосредственно в здании учреждения культуры;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с использованием средств телефонной связи;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3) посредством информационных стендов;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4) с использованием средств массовой информации (газета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»);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5) с использованием сетей Интернет (официальный сайт учреждения);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6) путем издания информационных материалов (рекламных буклетов, афиш, объявлений и т.п.).</w:t>
      </w: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2.2. Сведения об исполнителе муниципальной услуги (работы) месте его нахождения и графике работы: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Муниципальное бюджетное учреждение культуры «Информационно-культурный центр»;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место нахождения: 669472, Российская Федерация,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 с. 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, улица Ленина;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телефон: 8 950-082 44 37, факс: 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электронный адрес: 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-культурно-досуговое учреждение открыто для доступа населения не менее 6 дней в неделю. 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Предоставление услуг (работ) населению может производиться в любой день недели.</w:t>
      </w:r>
    </w:p>
    <w:p w:rsidR="00382578" w:rsidRDefault="00382578" w:rsidP="00382578">
      <w:pPr>
        <w:widowControl w:val="0"/>
        <w:tabs>
          <w:tab w:val="left" w:pos="360"/>
          <w:tab w:val="left" w:pos="420"/>
          <w:tab w:val="left" w:pos="1832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Мероприятия не могут начинаться ранее 8.00 и оканчиваться позже 02.00.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Длительность мероприятий определяется учреждением самостоятельно в соответствии с программой мероприятия.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Ежедневный режим работы сотрудников и персонала учреждения устанавливается директором МБУК ИКЦ в соответствии с распорядком работы.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Ненормированность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рабочего времени специалистов определяется в соответствии с потребностью в проведении конкретных работ. 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Время работы сотрудников учреждения – не более 40 часов в неделю (в соответствии с трудовым законодательством РФ).</w:t>
      </w: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2.3. Перечень документов, необходимых для получения муниципальной услуги (работы):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копия свидетельства о внесении записи в единый государственный реестр юридических лиц для юридических лиц;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копия документа, подтверждающего полномочия лица, на заключение договора на оказание муниципальной услуги физических лиц;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заявление либо другой документ на </w:t>
      </w:r>
      <w:proofErr w:type="gramStart"/>
      <w:r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которого будет оказана Муниципальная услуга (работа).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2.4. Должностным лицом, ответственным за предоставление Муниципальной услуги (работы), является директор МБУК ИКЦ.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2.5. Сроки предоставления муниципальной услуги. 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Предоставление Муниципальной услуги (работы) осуществляется по срокам, установленным планом мероприятий и перспективным планом работы, утверждаемым директором МБУК ИКЦ по согласованию с председателем комитета по культуре.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2.6. Перечень оснований для отказа в предоставлении Муниципальной услуги (работы):</w:t>
      </w: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2.6.1. Основаниями для отказа в предоставлении Муниципальной услуги (работы) являются: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наличие в представленных документах недостоверной или искаженной информации;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нарушение сроков и отсутствие финансирования Муниципальной услуги (работы).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2.6.2. Основаниями для приостановки оказания Муниципальной услуги (работы) являются: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соглашение сторон;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при обжаловании в судебном порядке;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при прекращении деятельности юридического лица;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в иных случаях, предусмотренных договором оказания услуг, утвержденным Муниципальным заданием и действующим законодательством.</w:t>
      </w:r>
    </w:p>
    <w:p w:rsidR="00382578" w:rsidRDefault="00382578" w:rsidP="00382578">
      <w:pPr>
        <w:spacing w:before="24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III. Административные процедуры</w:t>
      </w:r>
    </w:p>
    <w:p w:rsidR="00382578" w:rsidRDefault="00382578" w:rsidP="003825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3.1. Основным документом, регулирующим отношения МБУК ИКЦ (Исполнителя) и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» (Заказчика) является Муниципальное задание МБУК ИКЦ на соответствующий период. Муниципальное задание утверждается постановлением главы МО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>» на срок не более 5 лет.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Муниципальном задании описывается вид услуг и работ, оказываемых МБУК ИКЦ, их наименование, сроки исполнения, порядок оказания муниципальной услуги (работы) и порядок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исполнением, объем и качество оказания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Муниципальной услуги (работы), описание объектов инфраструктуры, необходимых для предоставления и улучшения качества предоставления Муниципальной услуги (работы).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3.2.Порядок предоставления Муниципальной услуги (работы) по организации и проведению культурно-массовых мероприятий (Культурно-массовых (иные зрелищные мероприятия):</w:t>
      </w:r>
      <w:proofErr w:type="gramEnd"/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3.2.1 Прием заявления для оказания Муниципальной услуги (работы) осуществляется в МБУК ИКЦ с понедельника по пятницу;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3.2.2 Регистрация заявления осуществляется в книге заявок в течение одного рабочего дня;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3.2.3. В заявлении должны быть соблюдены условия проведения культурно-массовых мероприятий (Культурно-массовы</w:t>
      </w:r>
      <w:proofErr w:type="gramStart"/>
      <w:r>
        <w:rPr>
          <w:rFonts w:ascii="Arial" w:eastAsia="Calibri" w:hAnsi="Arial" w:cs="Arial"/>
          <w:sz w:val="24"/>
          <w:szCs w:val="24"/>
        </w:rPr>
        <w:t>х(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иные зрелищные мероприятия»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3.2.4 Оформление социально-творческого заказа на оказание муниципальной услуги (работы).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3.2.5. </w:t>
      </w:r>
      <w:proofErr w:type="gramStart"/>
      <w:r>
        <w:rPr>
          <w:rFonts w:ascii="Arial" w:eastAsia="Calibri" w:hAnsi="Arial" w:cs="Arial"/>
          <w:sz w:val="24"/>
          <w:szCs w:val="24"/>
        </w:rPr>
        <w:t>Исполнитель предоставляет Заказчику смету расходов на предоставление муниципальной услуги (работы), план подготовки и сценарий проведения культурно-массового мероприятия (Культурно - массовых (иные зрелищные мероприятия), в течение 14 дней.</w:t>
      </w:r>
      <w:proofErr w:type="gramEnd"/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3.2.6. Согласование сметы расходов на предоставление муниципальной услуги (работы), плана подготовки и сценария проведения культурно-массового мероприятия осуществляется с Заказчиком в сроки по договоренности сторон.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3.2.7 Информирование населения о предоставлении Муниципальной услуги (работы) осуществляется посредством информационных стендов, с использованием средств массовой информации (газета «</w:t>
      </w:r>
      <w:proofErr w:type="spellStart"/>
      <w:r>
        <w:rPr>
          <w:rFonts w:ascii="Arial" w:eastAsia="Calibri" w:hAnsi="Arial" w:cs="Arial"/>
          <w:sz w:val="24"/>
          <w:szCs w:val="24"/>
        </w:rPr>
        <w:t>Аларь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»), сети Интернет (сайт МБУК ИКЦ и комитета по культуре) с указанием даты, времени и места проведения мероприятия.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3.2.8. О времени предоставления Муниципальной услуги (работы) информируются органы внутренних дел (ОП (дислокация. </w:t>
      </w:r>
      <w:proofErr w:type="spellStart"/>
      <w:r>
        <w:rPr>
          <w:rFonts w:ascii="Arial" w:eastAsia="Calibri" w:hAnsi="Arial" w:cs="Arial"/>
          <w:sz w:val="24"/>
          <w:szCs w:val="24"/>
        </w:rPr>
        <w:t>п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утулик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) МО МВД России «Черемховский»), пожарная часть (ПЧ 13 (по охране п. Кутулик) ФГКУ «4 ОФПС по Иркутской области»), скорая помощь за 3 рабочих дня.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3.2.9. Непосредственно проведение мероприятия. 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 невозможности проведения заявленного мероприятия заявитель уведомляется за 7 рабочих дней.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Calibri" w:hAnsi="Arial" w:cs="Arial"/>
          <w:sz w:val="24"/>
          <w:szCs w:val="24"/>
        </w:rPr>
        <w:t>м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аксимальный срок уведомления заявителя о невозможности проведения мероприятия составляет 10 дней до его начала </w:t>
      </w:r>
    </w:p>
    <w:p w:rsidR="00382578" w:rsidRDefault="00382578" w:rsidP="00382578">
      <w:pPr>
        <w:tabs>
          <w:tab w:val="left" w:pos="-1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3.3. Требования к организации и проведению </w:t>
      </w:r>
      <w:proofErr w:type="gramStart"/>
      <w:r>
        <w:rPr>
          <w:rFonts w:ascii="Arial" w:hAnsi="Arial" w:cs="Arial"/>
          <w:sz w:val="24"/>
          <w:szCs w:val="24"/>
        </w:rPr>
        <w:t>культурно-массовых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ИКЦ информирует население о предстоящем культурно-массовом мероприятии через щитовую рекламу, публикации в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», рекламные буклеты, листовки и приглашения, через интернет-сайт с указанием места проведения мероприятия, времени начала мероприятия и контактного телефона для справок.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зимнее время подходы к зданию или территории, где будет проводиться мероприятие, должны быть свободны для прохода, очищены от снега и льда.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темное время суток подходы к зданию или территории, где будет проводиться мероприятие, должны быть освещены.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Помещение, в котором проводится мероприятие, должно соответствовать нормам и требованиям органов Государственного пожарного надзора.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Фойе здания, в котором оказывается услуга (работа), должны быть оборудованы местами для ожидания, в том числе не менее чем 10 сидячими местами.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ИКЦ при проведении культурно-досугового мероприятия, обязано обеспечить наличие гардероба для посетителей мероприятия. Гардероб должен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– не менее +18 градусов и не более +25 градусов по шкале Цельсия.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предусмотрена плата за посещение культурно-досугового мероприятия, каждому посетителю культурно-досугового мероприятия должен быть выдан билет, удостоверяющий его право на посещение.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Сотрудники и персонал МБУК ИКЦ обязаны отвечать на все вопросы посетителей мероприятий по существу, либо обязаны указать на тех сотрудников, которые бы могли помочь обратившемуся в его вопросе (нужде).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Сотрудники и персонал МБУК МКЦД обязаны быть вежливыми и корректными, ни при каких обстоятельствах не должны повышать голос на посетителей мероприятий, применять меры принуждения и насилия к посетителям.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один час до начала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мероприятие.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помещении, в котором проводится мероприятие, должна быть медицинская аптечка для оказания доврачебной помощи посетителям.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организации мероприятий новогодней направленности, учреждение не должно устанавливать елку либо ее инсталляцию в проходах и около выходов из помещения. Елка и иные атрибуты праздника должны находиться на устойчивом основании.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нахождении людей в помещениях учреждения культуры двери основных и эвакуационных выходов не должны быть заперты на замки и трудно-открывающиеся запоры.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культуры должно обеспечить свободные пути эвакуации посетителей мероприятия (в том числе лестничные клетки, проходы в складах, входы на чердаки).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зданиях и помещениях, в которых проводятся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массовые мероприятия,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382578" w:rsidRDefault="00382578" w:rsidP="00382578">
      <w:pPr>
        <w:tabs>
          <w:tab w:val="left" w:pos="-168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помещениях, в которых проводится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382578" w:rsidRDefault="00382578" w:rsidP="00382578">
      <w:pPr>
        <w:tabs>
          <w:tab w:val="left" w:pos="2040"/>
        </w:tabs>
        <w:spacing w:after="24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2578" w:rsidRDefault="00382578" w:rsidP="00382578">
      <w:pPr>
        <w:tabs>
          <w:tab w:val="left" w:pos="1134"/>
          <w:tab w:val="left" w:pos="2040"/>
        </w:tabs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Порядок и формы контроля.</w:t>
      </w:r>
    </w:p>
    <w:p w:rsidR="00382578" w:rsidRDefault="00382578" w:rsidP="00382578">
      <w:pPr>
        <w:tabs>
          <w:tab w:val="left" w:pos="1134"/>
          <w:tab w:val="left" w:pos="2040"/>
        </w:tabs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4.1.Основной контроль соблюдения последовательности действий по исполнению Муниципальной услуги (работы) по организации и проведению культурно-массовых мероприятий (Культурно-массовы</w:t>
      </w:r>
      <w:proofErr w:type="gramStart"/>
      <w:r>
        <w:rPr>
          <w:rFonts w:ascii="Arial" w:eastAsia="Calibri" w:hAnsi="Arial" w:cs="Arial"/>
          <w:sz w:val="24"/>
          <w:szCs w:val="24"/>
        </w:rPr>
        <w:t>х(</w:t>
      </w:r>
      <w:proofErr w:type="gramEnd"/>
      <w:r>
        <w:rPr>
          <w:rFonts w:ascii="Arial" w:eastAsia="Calibri" w:hAnsi="Arial" w:cs="Arial"/>
          <w:sz w:val="24"/>
          <w:szCs w:val="24"/>
        </w:rPr>
        <w:t>иные зрелищные мероприятия)» осуществляется комитетом по культуре администрации МО «</w:t>
      </w:r>
      <w:proofErr w:type="spellStart"/>
      <w:r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4.2.Текущий контроль осуществляется путем проведения директором МБУК МКЦД проверок соблюдения положений настоящего Административного регламента при предоставлении сотрудниками Муниципальной услуги (работы), выявления и устранения нарушений прав потребителей, рассмотрения, подготовки ответов на их обращения. </w:t>
      </w:r>
    </w:p>
    <w:p w:rsidR="00382578" w:rsidRDefault="00382578" w:rsidP="00382578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4.3.Результаты проверки оформляются в виде справки, в которой отмечаются выявленные недостатки и предложения по их устранению. 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4.4. Текущий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kern w:val="2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(работы), и принятием решений работниками МБУК ИКЦ, осуществляется руководителем, ответственным за организацию работы по предоставлению Муниципальной услуги (работы), а также должностными лицами, участвующими в предоставлении Муниципальной услуги (работы).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4.5. Текущий контроль осуществляется путем проведения руководителем, ответственным за организацию работы по предоставлению Муниципальной услуги </w:t>
      </w:r>
      <w:r>
        <w:rPr>
          <w:rFonts w:ascii="Arial" w:eastAsia="Calibri" w:hAnsi="Arial" w:cs="Arial"/>
          <w:kern w:val="2"/>
          <w:sz w:val="24"/>
          <w:szCs w:val="24"/>
        </w:rPr>
        <w:lastRenderedPageBreak/>
        <w:t>(работы), проверок соблюдения и исполнения положений настоящего административного регламента, иных правовых актов.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4.6. Периодичность осуществления текущего контроля устанавливается председателем комитета по культуре.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4.7.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kern w:val="2"/>
          <w:sz w:val="24"/>
          <w:szCs w:val="24"/>
        </w:rPr>
        <w:t xml:space="preserve"> полнотой и качеством предоставления Муниципальной услуги (работы) включает в себя проведение проверок, выявление и устранение нарушений прав потребителей в результате предоставления Муниципальной услуги (работы), рассмотрение, принятие решений и подготовку ответов на обращения потребителей результатов предоставления Муниципальной услуги (работы), содержащих жалобы на решения, действия (бездействие) работников учреждения культуры.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4.8. По результатам проведенных проверок, в случае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>выявления нарушений прав потребителей результатов предоставления Муниципальной</w:t>
      </w:r>
      <w:proofErr w:type="gramEnd"/>
      <w:r>
        <w:rPr>
          <w:rFonts w:ascii="Arial" w:eastAsia="Calibri" w:hAnsi="Arial" w:cs="Arial"/>
          <w:kern w:val="2"/>
          <w:sz w:val="24"/>
          <w:szCs w:val="24"/>
        </w:rPr>
        <w:t xml:space="preserve"> услуги (работы), осуществляется привлечение виновных лиц к ответственности в соответствии с законодательством Российской Федерации.</w:t>
      </w:r>
    </w:p>
    <w:p w:rsidR="00382578" w:rsidRDefault="00382578" w:rsidP="00382578">
      <w:pPr>
        <w:widowControl w:val="0"/>
        <w:tabs>
          <w:tab w:val="left" w:pos="142"/>
          <w:tab w:val="left" w:pos="360"/>
        </w:tabs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Проведение проверок может носить плановый характер (осуществляться на основании  годовых планов работы), тематический характер (проверка предоставления Муниципальной услуги (работы)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Муниципальной услуги (работы)).</w:t>
      </w:r>
    </w:p>
    <w:p w:rsidR="00382578" w:rsidRDefault="00382578" w:rsidP="00382578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V. </w:t>
      </w:r>
      <w:r>
        <w:rPr>
          <w:rFonts w:ascii="Arial" w:eastAsia="Calibri" w:hAnsi="Arial" w:cs="Arial"/>
          <w:b/>
          <w:bCs/>
          <w:sz w:val="24"/>
          <w:szCs w:val="24"/>
          <w:u w:val="single"/>
        </w:rPr>
        <w:t>Порядок обжалования действий (бездействия) и решений, осуществляемых (принятых) в ходе предоставления Муниципальной услуги (работы).</w:t>
      </w:r>
    </w:p>
    <w:p w:rsidR="00382578" w:rsidRDefault="00382578" w:rsidP="00382578">
      <w:pPr>
        <w:widowControl w:val="0"/>
        <w:tabs>
          <w:tab w:val="left" w:pos="142"/>
        </w:tabs>
        <w:suppressAutoHyphens/>
        <w:spacing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5.1. Потребители результатов предоставления муниципальной услуги (работы) имеют право на обжалование действий (бездействий) и решений работников органов, участвующих в предоставлении муниципальной услуги (работы), в вышестоящие органы в досудебном и судебном порядке. </w:t>
      </w:r>
    </w:p>
    <w:p w:rsidR="00382578" w:rsidRDefault="00382578" w:rsidP="00382578">
      <w:pPr>
        <w:widowControl w:val="0"/>
        <w:tabs>
          <w:tab w:val="left" w:pos="709"/>
        </w:tabs>
        <w:spacing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  <w:t xml:space="preserve">5.2. Потребители результатов предоставления Муниципальной услуги (работы) </w:t>
      </w:r>
      <w:r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</w:rPr>
        <w:t>вправе обратиться с жалобой письменно, устно или в форме электронного документа.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5.3. Заявитель в своей жалобе в обязательном порядке указывает: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фамилию, имя, отчество;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почтовый адрес, по которому должен быть направлен ответ;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изложение сути жалобы; </w:t>
      </w:r>
    </w:p>
    <w:p w:rsidR="00382578" w:rsidRDefault="00382578" w:rsidP="00382578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личную подпись и дату. 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5.4. Должностные лица, ответственные или уполномоченные работники органов, участвующих в предоставлении Муниципальной услуги (работы), проводят личный прием потребителей результатов предоставления Муниципальной услуги (работы):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-обеспечивает объективное, всестороннее и своевременное рассмотрение обращения, в случае необходимости с участием заявителя, направившего жалобу, или его законного представителя;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-вправе запрашивать необходимые для рассмотрения жалобы документы и материалы в других муниципальных органах, органах местного самоуправления, у иных должностных лиц, за исключением судов, органов дознания и органов предварительного следствия; </w:t>
      </w:r>
    </w:p>
    <w:p w:rsidR="00382578" w:rsidRDefault="00382578" w:rsidP="003825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 </w:t>
      </w:r>
    </w:p>
    <w:p w:rsidR="00382578" w:rsidRDefault="00382578" w:rsidP="00382578">
      <w:pPr>
        <w:widowControl w:val="0"/>
        <w:tabs>
          <w:tab w:val="left" w:pos="15"/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5.5. При обращении потребителей результатов предоставления муниципальной услуги (работы) в письменной форме срок рассмотрения жалобы не должен превышать 15 дней с момента получения обращения. </w:t>
      </w:r>
    </w:p>
    <w:p w:rsidR="00382578" w:rsidRDefault="00382578" w:rsidP="00382578">
      <w:pPr>
        <w:spacing w:after="12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5.6.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5.7.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5.8. </w:t>
      </w:r>
      <w:proofErr w:type="gramStart"/>
      <w:r>
        <w:rPr>
          <w:rFonts w:ascii="Arial" w:eastAsia="Calibri" w:hAnsi="Arial" w:cs="Arial"/>
          <w:kern w:val="2"/>
          <w:sz w:val="24"/>
          <w:szCs w:val="24"/>
        </w:rPr>
        <w:t xml:space="preserve">Если документы, имеющие существенное значение для рассмотрения жалобы, отсутствуют или не приложены к обращению, должностное лицо </w:t>
      </w:r>
      <w:r>
        <w:rPr>
          <w:rFonts w:ascii="Arial" w:eastAsia="Calibri" w:hAnsi="Arial" w:cs="Arial"/>
          <w:kern w:val="2"/>
          <w:sz w:val="24"/>
          <w:szCs w:val="24"/>
          <w:shd w:val="clear" w:color="auto" w:fill="FFFFFF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  <w:r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End"/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5.9. Жалоба подписывается подавшим ее потребителем результатов предоставления Муниципальной услуги (работы). 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 xml:space="preserve">5.10. По результатам рассмотрения жалобы должностное лицо,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(работы) и о признании неправомерным действия (бездействия) либо об отказе в удовлетворении жалобы. 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5.11. Письменный ответ, содержащий результаты рассмотрения обращения, направляется потребителю результатов предоставления Муниципальной услуги (работы).</w:t>
      </w:r>
    </w:p>
    <w:p w:rsidR="00382578" w:rsidRDefault="00382578" w:rsidP="00382578">
      <w:pPr>
        <w:widowControl w:val="0"/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5.12. Обращение потребителя результатов предоставления муниципальной услуги (работы) не рассматривается в следующих случаях:</w:t>
      </w:r>
    </w:p>
    <w:p w:rsidR="00382578" w:rsidRDefault="00382578" w:rsidP="0038257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оно является нечитаемым;</w:t>
      </w:r>
    </w:p>
    <w:p w:rsidR="00382578" w:rsidRDefault="00382578" w:rsidP="00382578">
      <w:pPr>
        <w:shd w:val="clear" w:color="auto" w:fill="FFFFFF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в обращении содержатся угрозы или нецензурная брань;</w:t>
      </w:r>
    </w:p>
    <w:p w:rsidR="00382578" w:rsidRDefault="00382578" w:rsidP="00382578">
      <w:pPr>
        <w:shd w:val="clear" w:color="auto" w:fill="FFFFFF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на аналогичные обращения давались неоднократные письменные ответы по существу;</w:t>
      </w:r>
    </w:p>
    <w:p w:rsidR="00382578" w:rsidRDefault="00382578" w:rsidP="00382578">
      <w:pPr>
        <w:shd w:val="clear" w:color="auto" w:fill="FFFFFF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обращение является анонимным.</w:t>
      </w:r>
    </w:p>
    <w:p w:rsidR="00382578" w:rsidRDefault="00382578" w:rsidP="00382578">
      <w:pPr>
        <w:widowControl w:val="0"/>
        <w:tabs>
          <w:tab w:val="left" w:pos="360"/>
        </w:tabs>
        <w:spacing w:before="120"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5.13.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5.14. Потребители результатов предоставления Муниципальной услуги (работы) вправе обжаловать решения, принятые в ходе предоставления Муниципальной услуги (работы),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 (работы), в судебном порядке.</w:t>
      </w:r>
    </w:p>
    <w:p w:rsidR="00382578" w:rsidRDefault="00382578" w:rsidP="00382578">
      <w:pPr>
        <w:widowControl w:val="0"/>
        <w:tabs>
          <w:tab w:val="left" w:pos="360"/>
        </w:tabs>
        <w:spacing w:after="12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5.15. В суде могут быть обжалованы решения, действия или бездействия, в результате которых:</w:t>
      </w:r>
    </w:p>
    <w:p w:rsidR="00382578" w:rsidRDefault="00382578" w:rsidP="00382578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 нарушены права и свободы потребителя результатов предоставления Муниципальной услуги (работы);</w:t>
      </w:r>
    </w:p>
    <w:p w:rsidR="00382578" w:rsidRDefault="00382578" w:rsidP="0038257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- созданы препятствия к осуществлению потребителем результатов предоставления Муниципальной услуги (работы) его прав и свобод;</w:t>
      </w:r>
    </w:p>
    <w:p w:rsidR="00382578" w:rsidRDefault="00382578" w:rsidP="0038257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lastRenderedPageBreak/>
        <w:t>-  незаконно на потребителя результатов предоставления Муниципальной услуги (работы) возложена какая-либо обязанность, или он незаконно привлечен к какой-либо ответственности.</w:t>
      </w:r>
    </w:p>
    <w:p w:rsidR="00382578" w:rsidRDefault="00382578" w:rsidP="00382578">
      <w:pPr>
        <w:widowControl w:val="0"/>
        <w:tabs>
          <w:tab w:val="left" w:pos="360"/>
        </w:tabs>
        <w:spacing w:before="120"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ab/>
      </w:r>
      <w:r>
        <w:rPr>
          <w:rFonts w:ascii="Arial" w:eastAsia="Calibri" w:hAnsi="Arial" w:cs="Arial"/>
          <w:kern w:val="2"/>
          <w:sz w:val="24"/>
          <w:szCs w:val="24"/>
        </w:rPr>
        <w:tab/>
        <w:t>5.16. Потребитель результатов предоставления Муниципальной услуги (работы)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82578" w:rsidRDefault="00382578" w:rsidP="0038257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540FA" w:rsidRDefault="005540FA"/>
    <w:sectPr w:rsidR="0055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9F"/>
    <w:rsid w:val="00382578"/>
    <w:rsid w:val="005540FA"/>
    <w:rsid w:val="007A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</Words>
  <Characters>18639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2017-02-15T12:59:00Z</dcterms:created>
  <dcterms:modified xsi:type="dcterms:W3CDTF">2017-02-15T13:01:00Z</dcterms:modified>
</cp:coreProperties>
</file>