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901743" w:rsidRPr="00901743" w:rsidRDefault="00901743" w:rsidP="00901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23.01.2017 г.  № 4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МУНИЦИПАЛЬНОЙ ПРОГРАММЫ КОМПЛЕКСНОЕ БЛАГОУСТРОЙСТВО ТЕРРИТОРИИ МУНИЦИПАЛЬНОГО ОБРАЗОВАНИЯ «АЛАРЬ» НА 2017-2022 ГОД.</w:t>
      </w: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 xml:space="preserve">          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Times New Roman" w:hAnsi="Arial" w:cs="Arial"/>
          <w:sz w:val="24"/>
          <w:szCs w:val="24"/>
        </w:rPr>
        <w:t>»,</w:t>
      </w:r>
    </w:p>
    <w:p w:rsidR="00901743" w:rsidRPr="00901743" w:rsidRDefault="00901743" w:rsidP="0090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01743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1.Утвердить муниципальную программу «Комплексное благоустройство территории муниципального образования «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Times New Roman" w:hAnsi="Arial" w:cs="Arial"/>
          <w:sz w:val="24"/>
          <w:szCs w:val="24"/>
        </w:rPr>
        <w:t>» на 2017-2022 год»</w:t>
      </w:r>
    </w:p>
    <w:p w:rsidR="00901743" w:rsidRPr="00901743" w:rsidRDefault="00901743" w:rsidP="009017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90174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1743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01743" w:rsidRPr="00901743" w:rsidRDefault="00901743" w:rsidP="009017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информационном бюллетене «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901743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Times New Roman" w:hAnsi="Arial" w:cs="Arial"/>
          <w:sz w:val="24"/>
          <w:szCs w:val="24"/>
        </w:rPr>
        <w:t>» (</w:t>
      </w:r>
      <w:hyperlink r:id="rId5" w:history="1">
        <w:r w:rsidRPr="0090174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901743">
        <w:rPr>
          <w:rFonts w:ascii="Arial" w:eastAsia="Times New Roman" w:hAnsi="Arial" w:cs="Arial"/>
          <w:sz w:val="24"/>
          <w:szCs w:val="24"/>
        </w:rPr>
        <w:t>).</w:t>
      </w: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Times New Roman" w:hAnsi="Arial" w:cs="Arial"/>
          <w:sz w:val="24"/>
          <w:szCs w:val="24"/>
        </w:rPr>
        <w:t>»</w:t>
      </w: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Pr="00901743">
        <w:rPr>
          <w:rFonts w:ascii="Arial" w:eastAsia="Times New Roman" w:hAnsi="Arial" w:cs="Arial"/>
          <w:sz w:val="24"/>
          <w:szCs w:val="24"/>
        </w:rPr>
        <w:t>Батаева</w:t>
      </w:r>
      <w:proofErr w:type="spellEnd"/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tbl>
      <w:tblPr>
        <w:tblW w:w="10512" w:type="dxa"/>
        <w:tblInd w:w="-492" w:type="dxa"/>
        <w:tblLook w:val="0000" w:firstRow="0" w:lastRow="0" w:firstColumn="0" w:lastColumn="0" w:noHBand="0" w:noVBand="0"/>
      </w:tblPr>
      <w:tblGrid>
        <w:gridCol w:w="10248"/>
        <w:gridCol w:w="264"/>
      </w:tblGrid>
      <w:tr w:rsidR="00901743" w:rsidRPr="00901743" w:rsidTr="00E71F3A">
        <w:trPr>
          <w:trHeight w:val="791"/>
        </w:trPr>
        <w:tc>
          <w:tcPr>
            <w:tcW w:w="10512" w:type="dxa"/>
            <w:gridSpan w:val="2"/>
            <w:vAlign w:val="center"/>
          </w:tcPr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lastRenderedPageBreak/>
              <w:t>Приложение к постановлению</w:t>
            </w:r>
          </w:p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от 23.01.2017 г. № 4</w:t>
            </w:r>
          </w:p>
          <w:p w:rsidR="00901743" w:rsidRPr="00901743" w:rsidRDefault="00901743" w:rsidP="0090174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ПРОГРАММА</w:t>
            </w: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муниципального образования «</w:t>
            </w:r>
            <w:proofErr w:type="spellStart"/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Аларь</w:t>
            </w:r>
            <w:proofErr w:type="spellEnd"/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ind w:hanging="18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«</w:t>
            </w:r>
            <w:r w:rsidRPr="0090174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Комплексное благоустройство территории муниципального образования «</w:t>
            </w:r>
            <w:proofErr w:type="spellStart"/>
            <w:r w:rsidRPr="0090174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Аларь</w:t>
            </w:r>
            <w:proofErr w:type="spellEnd"/>
            <w:r w:rsidRPr="0090174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 на 2017-2022 год</w:t>
            </w: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proofErr w:type="spellStart"/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с</w:t>
            </w:r>
            <w:proofErr w:type="gramStart"/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.А</w:t>
            </w:r>
            <w:proofErr w:type="gramEnd"/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ларь</w:t>
            </w:r>
            <w:proofErr w:type="spellEnd"/>
          </w:p>
          <w:p w:rsidR="00901743" w:rsidRPr="00901743" w:rsidRDefault="00901743" w:rsidP="009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2017 год</w:t>
            </w:r>
          </w:p>
          <w:p w:rsidR="00901743" w:rsidRPr="00901743" w:rsidRDefault="00901743" w:rsidP="00901743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43" w:rsidRPr="00901743" w:rsidRDefault="00901743" w:rsidP="0090174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01743" w:rsidRPr="00901743" w:rsidTr="00E71F3A">
        <w:trPr>
          <w:trHeight w:val="236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1. Общая информация о муниципальном образовании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268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2. Содержание проблемы и обоснование необходимости ее решения программными методами.       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27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right="99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3.Основные цели и задачи, сроки и этапы реализации, целевые индикаторы и показатели программ.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4. Система программных мероприятий, ресурсное обеспечение, перечень мероприятий и финансовое обеспечение.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5. Ресурсное обеспечение Программы.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104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26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6.Механизм реализации Программы. 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80" w:hanging="24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22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7. Оценка эффективности </w:t>
            </w:r>
            <w:proofErr w:type="gramStart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социально-экономического</w:t>
            </w:r>
            <w:proofErr w:type="gramEnd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и экологических последствий от реализации программы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05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8. Организация управления Программой и </w:t>
            </w:r>
            <w:proofErr w:type="gramStart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ходом ее реализации.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27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left="60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left="60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4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hanging="32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71F3A">
        <w:trPr>
          <w:trHeight w:val="34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hanging="32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lastRenderedPageBreak/>
        <w:t>Муниципальная целевая программа «Комплексное благоустройство территории муниципального образования «</w:t>
      </w:r>
      <w:proofErr w:type="spellStart"/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» на 2017-2022год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aps/>
          <w:color w:val="363636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aps/>
          <w:color w:val="363636"/>
          <w:sz w:val="24"/>
          <w:szCs w:val="24"/>
          <w:lang w:eastAsia="ru-RU"/>
        </w:rPr>
        <w:t>ПАСПОРТ  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tbl>
      <w:tblPr>
        <w:tblW w:w="98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6555"/>
      </w:tblGrid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Муниципальная целевая программа «Комплексное благоустройство территории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»» на 2017-2022  год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(далее - Программа)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№ 131-ФЗ «Об общих принципах организации местного самоуправления в Российской 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Федерации»</w:t>
            </w: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,Ф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едеральный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закон от 24.06.1998 N 89-ФЗ «Об отходах производства и потребления», Устав МО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Муниципальный  заказчик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 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24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координаторы и исполнители 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  <w:t>мероприятий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  <w:t>Программы: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Администрация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 </w:t>
            </w:r>
            <w:r w:rsidRPr="00901743">
              <w:rPr>
                <w:rFonts w:ascii="Courier New" w:eastAsia="Calibri" w:hAnsi="Courier New" w:cs="Courier New"/>
                <w:color w:val="363636"/>
                <w:shd w:val="clear" w:color="auto" w:fill="FAFAFA"/>
                <w:lang w:eastAsia="ru-RU"/>
              </w:rPr>
              <w:t>Федерального закона № 44-ФЗ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Совершенствование системы комплексного благоустройства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Повышение уровня внешнего благоустройства и санитарного содержания населенных пунктов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Текущее содержание и ремонт мемориальных объектов, мест захоронения распложенных в населенных пунктах МО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», включая прилежащую к ним территорию;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-  Совершенствование </w:t>
            </w: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эстетического вида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территорий населенных пунктов, создание гармоничной архитектурно-ландшафтной среды;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Активизация работ по благоустройству территории поселения в границах населенных пунктов, развитие систем наружного освещения улиц населенных пунктов;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-Повышение общего  уровня благоустройства поселения 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-Привлечение населения к работам по ликвидации несанкционированных свалок мусора и твердых коммунальных отходов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Поддержание и приведение в качественное состояние элементов благоустройства,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- Содержание и текущий ремонт объектов 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lastRenderedPageBreak/>
              <w:t>благоустройства (малых архитектурных форм, детских игровых площадок, газонов, зелёных насаждений, тротуаров пешеходных дорожек и т.д.)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оздоровление санитарной экологической обстановки в поселении;- оздоровление санитарной экологической обстановки в местах санкционированного размещения отходов.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2017-2022 год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171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Общий объем финансирования из средств местного бюджета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2017 год   -51,0 тыс.  руб.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2018 год-28,0 тыс. руб. 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2019 год- 23,0 тыс. руб.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2020 год- 32 тыс. руб.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2021 год.- 25 тыс. руб.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2022 год-20,0 тыс. руб.</w:t>
            </w: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  <w:p w:rsidR="00901743" w:rsidRPr="00901743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Итого: 179,0 тыс. руб.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171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Единое управление комплексным благоустройством муниципального образования.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-Определение перспективы улучшения благоустройства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-Создание условий для работы и отдыха жителей поселения.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-Улучшение состояния территорий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совершенствование эстетического состояния территории;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создание зелёных зон для отдыха граждан;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предотвращение сокращения зелёных насаждений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благоустроенность населенных пунктов поселения.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71F3A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 xml:space="preserve">Система организации   </w:t>
            </w:r>
            <w:proofErr w:type="gramStart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контроля за</w:t>
            </w:r>
            <w:proofErr w:type="gramEnd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Контроль за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ходом реализации целевой программы осуществляется Администрацией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 в соответствии с ее полномочиями, установленными федеральным и областным законодательством.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Отчеты о выполнении целевой программы, включая меры по повышению эффективности ее реализации, представляются  Администрацией муниципального образования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 депутатам Думы МО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</w:tbl>
    <w:p w:rsidR="00901743" w:rsidRPr="00901743" w:rsidRDefault="00901743" w:rsidP="0090174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1743" w:rsidRPr="00901743" w:rsidRDefault="00901743" w:rsidP="00901743">
      <w:pPr>
        <w:ind w:left="708"/>
        <w:jc w:val="both"/>
        <w:rPr>
          <w:rFonts w:ascii="Arial" w:eastAsia="Calibri" w:hAnsi="Arial" w:cs="Arial"/>
          <w:b/>
          <w:sz w:val="24"/>
          <w:szCs w:val="24"/>
        </w:rPr>
      </w:pPr>
      <w:r w:rsidRPr="00901743">
        <w:rPr>
          <w:rFonts w:ascii="Arial" w:eastAsia="Calibri" w:hAnsi="Arial" w:cs="Arial"/>
          <w:b/>
          <w:sz w:val="24"/>
          <w:szCs w:val="24"/>
        </w:rPr>
        <w:lastRenderedPageBreak/>
        <w:t xml:space="preserve"> 1. Общая информация о муниципальном образовании 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>Муниципальное образование  «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» находится в южной части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районе  в 50-ти км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.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т районного центра п.  Кутулик. Отдаленность от железной дороги </w:t>
      </w:r>
      <w:smartTag w:uri="urn:schemas-microsoft-com:office:smarttags" w:element="metricconverter">
        <w:smartTagPr>
          <w:attr w:name="ProductID" w:val="-50 км"/>
        </w:smartTagPr>
        <w:r w:rsidRPr="00901743">
          <w:rPr>
            <w:rFonts w:ascii="Arial" w:eastAsia="Calibri" w:hAnsi="Arial" w:cs="Arial"/>
            <w:sz w:val="24"/>
            <w:szCs w:val="24"/>
          </w:rPr>
          <w:t>-50 км</w:t>
        </w:r>
      </w:smartTag>
      <w:r w:rsidRPr="00901743">
        <w:rPr>
          <w:rFonts w:ascii="Arial" w:eastAsia="Calibri" w:hAnsi="Arial" w:cs="Arial"/>
          <w:sz w:val="24"/>
          <w:szCs w:val="24"/>
        </w:rPr>
        <w:t xml:space="preserve">. Время поездки до ближайшего центра -45 мин. До центра субъекта федерации – п.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>-Орда -6 часов, до областного центра -3 часа.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» граничит с Черемховским муниципальным районом с востока, с западной стороны граничит с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Нукутским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муниципальным районом.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сельский исполком был образован в далеком 1923 году. На сегодняшний день  население МО «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>» насчитывает 2045 человек. На территории МО «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» находятся 6 населенных пунктов. 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Богата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 событиями, хрониками и людьми становления и развития древней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Алари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, интересны судьбы людские, пронизанные ветрами времени. В каждом населенном пункте функционирует сельский клуб,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библиотека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,в</w:t>
      </w:r>
      <w:proofErr w:type="spellEnd"/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 центральной усадьбе с.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работает участковая больница, средняя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щкола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, почта, детский сад, сельский клуб, молокоприемный пункт, краеведческий музей. Много именитых личностей вырастила земля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аларская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- это три академика, много кандидатов наук, имеются профессора наук.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 xml:space="preserve">Имеются интересные исторические места: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Ламский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сад, он расположен в самом центре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Алари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, это как бы сердце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Алари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. В саду находится Ступа,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Дуган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, куда приходят жители, чтобы помолиться за своих детей, поклоняются своим предкам, в Ламском саду растут высокие кедры, вековые ели, пихта, ранет, черемуха, когда-то посаженные ламами. В 2015 году прошло празднование 200-летия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 xml:space="preserve"> дацана. Жители гордятся этим дивным и райским садом. В саду всегда тихо и спокойно, слышно как поют 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птицы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 и стучит дятел.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 xml:space="preserve">         Природные ресурсы.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 xml:space="preserve">  Климат резко-континентальный, средняя температура зимой -25-30, с продолжительной холодной </w:t>
      </w:r>
      <w:proofErr w:type="spellStart"/>
      <w:r w:rsidRPr="00901743">
        <w:rPr>
          <w:rFonts w:ascii="Arial" w:eastAsia="Calibri" w:hAnsi="Arial" w:cs="Arial"/>
          <w:sz w:val="24"/>
          <w:szCs w:val="24"/>
        </w:rPr>
        <w:t>зимой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>.с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>редняя</w:t>
      </w:r>
      <w:proofErr w:type="spellEnd"/>
      <w:r w:rsidRPr="00901743">
        <w:rPr>
          <w:rFonts w:ascii="Arial" w:eastAsia="Calibri" w:hAnsi="Arial" w:cs="Arial"/>
          <w:sz w:val="24"/>
          <w:szCs w:val="24"/>
        </w:rPr>
        <w:t>, температура летом +25+30 С. со средним количеством осадков.</w:t>
      </w:r>
    </w:p>
    <w:p w:rsidR="00901743" w:rsidRPr="00901743" w:rsidRDefault="00901743" w:rsidP="00901743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>Рельеф.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>Основной тип почв, распространенных на территории лугово-черноземные</w:t>
      </w:r>
      <w:proofErr w:type="gramStart"/>
      <w:r w:rsidRPr="00901743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901743">
        <w:rPr>
          <w:rFonts w:ascii="Arial" w:eastAsia="Calibri" w:hAnsi="Arial" w:cs="Arial"/>
          <w:sz w:val="24"/>
          <w:szCs w:val="24"/>
        </w:rPr>
        <w:t xml:space="preserve"> дерново-подзолистые, преобладающие типы растительности-это степной, лесостепной., представленными степными участками с массивами смешанного леса, имеются участки кустарниковой растительности, животный мир представлен типичными представителями лесостепной фауны- заяц, кролик, лиса, колонок, косуля, имеется богатая орнитофауна, представленная местными и перелетными видами, имеются сельскохозяйственные угодья, пастбища, для проведения строительных работ имеются площади.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2. Содержание проблемы и обоснование необходимости её решения программными методами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решении вопросов благоустройства территории поселения имеется ряд проблем.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Благоустройство части населенных пунктов поселения еще далеко от уровня реализации всех современных требований. Есть нерешенные проблемы благоустройства и санитарного содержания дворовых территорий. Серьезную озабоченность вызывают инертность и нежелание граждан, проживающих в так называемом «частном секторе», в решении вопросов организованного мусора через заключение соответствующих договоров на оказание такого типа услуг и активное создание свалок коммунальных отходов.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Уличное освещение населенных пунктов составляет 90%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Для решения данной проблемы требуется участие и взаимодействие органов местного самоуправления  с привлечением предприятий и организаций, наличие финансирования и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софинансирования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из областного бюджета, которого, к сожалению, на регулируемый период не предусмотрено.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Для решения вопросов благоустройства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Конкретная деятельность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 должна осуществляться в соответствии с бюджетным законодательством и настоящей Программой.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3. Основные цели и задачи, сроки и этапы реализации, целевые индикаторы и показатели программ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2.1 Анализ существующего положения в комплексном благоустройстве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результатам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2.2 Координация деятельности в области благоустройства территории.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настоящее время предприятий, занимающиеся благоустройством на территории сельского поселения нет.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Координацией вопросов по благоустройству занимается Администрация поселения. Указанный круг задач, выполняемый Администрацией поселения, её штатная численность и оснащенность не позволяют в полном объёме исполнять полный комплекс мероприятий по благоустройству. В связи с этим требуется привлечение специализированных организаций, индивидуальных предпринимателей  на договорной основе для решения существующих проблем поселения.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2.3 . Анализ качественного состояния элементов благоустройства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2.3.1. Наружное освещение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обустройстве недостающего на улицах населенных пунктов территории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2.3.2.Озеленение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Существующие участки зеленых насаждений общего пользования и растений имеют различное состояние в зависимости от года и места посадки,  нуждаются в постоянном уходе, формовочной обрезке, однолетнее озеленение предполагается в густонаселённых пунктах, имеющих четкую планировку места размещения однолетних насаждений (стационарные клумбовые места).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Необходимо обеспечение удаления аварийных и старых деревьев, декоративная обрезка, подсадка саженцев, разбивка клумб,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окос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газонов и обочин внутриквартальных проездов в территории, относящейся к муниципальному ведению.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На территории поселения расположено 6 кладбищ и 4 памятника воинской славы. Кладбища во всех населенных пунктах требуют огораживания. Памятники воинской славы нуждаются в проведении системы поддерживающих мероприятий по содержанию и ремонту прилежащей территории.  Установлены во всех населенных пунктах в скверах Славы «Стена памяти» к 75-летию Победы. Требуется обновление памятников в с. </w:t>
      </w:r>
      <w:proofErr w:type="spellStart"/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на, что нужны денежные средства из областного бюджета.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2.3.4. Благоустройство населенных пунктов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601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Благоустройство в жилых кварталах и на территориях сельских населенных пунктов поселения включает в себя дороги, тротуары  в населенных пунктах зелёные насаждения, ремонт детских игровых площадок, места отдыха с установленными в них малыми архитектурными формами. Благоустройство является полномочием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60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Настоящая программа направлена на обеспечение комфортного уровня проживания граждан на территории населенных пунктов  и включает следующие направления для реализации: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совершенствование системы комплексного благоустройства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», обеспечение 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эстетического вида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населённых пунктов  поселения, создание гармоничной архитектурно-ландшафтной среды;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повышение уровня внешнего благоустройства и санитарного содержания населенных пунктов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приведение в качественное состояние элементов благоустройства, повышение общего уровня благоустройства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участие совместно с населением в работах по ликвидации стихийных навалов мусора;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4. Система программных мероприятий, ресурсное обеспечение, перечень мероприятий и определение финансирования</w:t>
      </w:r>
      <w:proofErr w:type="gramStart"/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 xml:space="preserve"> .</w:t>
      </w:r>
      <w:proofErr w:type="gramEnd"/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,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4.1.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совершенствованию систем уличного освещения населенных пунктов территории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Предусматривается комплекс работ по текущему содержанию и ремонту систем освещения населенных пунктов поселения с применением прогрессивных энергосберегающих технологий и материалов (оплата потребляемой электроэнергии, оплата работ по замене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нормативом, реконструкция системы уличного освещения в с.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 Планируется установка 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новых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КТП в с.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по ул.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Ербанова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 ул.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Улахинская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  <w:r w:rsidRPr="00901743"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spellStart"/>
      <w:r w:rsidRPr="00901743">
        <w:rPr>
          <w:rFonts w:ascii="Arial" w:eastAsia="Calibri" w:hAnsi="Arial" w:cs="Arial"/>
          <w:sz w:val="24"/>
          <w:szCs w:val="24"/>
          <w:lang w:eastAsia="ru-RU"/>
        </w:rPr>
        <w:t>безхозные</w:t>
      </w:r>
      <w:proofErr w:type="spellEnd"/>
      <w:r w:rsidRPr="00901743">
        <w:rPr>
          <w:rFonts w:ascii="Arial" w:eastAsia="Calibri" w:hAnsi="Arial" w:cs="Arial"/>
          <w:sz w:val="24"/>
          <w:szCs w:val="24"/>
          <w:lang w:eastAsia="ru-RU"/>
        </w:rPr>
        <w:t xml:space="preserve"> КТП)</w:t>
      </w:r>
      <w:r w:rsidRPr="00901743">
        <w:rPr>
          <w:rFonts w:ascii="Arial" w:eastAsia="Calibri" w:hAnsi="Arial" w:cs="Arial"/>
          <w:color w:val="FF0000"/>
          <w:sz w:val="24"/>
          <w:szCs w:val="24"/>
          <w:lang w:eastAsia="ru-RU"/>
        </w:rPr>
        <w:t>,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эти КТП находятся в ветхом и опасном  состоянии.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4.2.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обустройству, ремонту и содержанию детских игровых площадок  в населенных пунктах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..</w:t>
      </w:r>
      <w:proofErr w:type="gramEnd"/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комплекс работ по нормативному содержанию детских игровых площадок (санитарная очистка, ремонт малых архитектурных форм, ограждений, пешеходных дорожек и наружного освещения).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4.3.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озеленению территории сельских населенных пунктов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.</w:t>
      </w:r>
      <w:proofErr w:type="gramEnd"/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комплекс работ по озеленению и содержанию зелёных насаждений в населенных пунктах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., 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тополей, веток, содержание газонов, посадка клумб, разбивка цветников и мест, прилегающих к объектам благоустройства).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4.4.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 Участие совместно с постоянным населением населенных пунктов в мероприятиях по ликвидации очагов стихийного завала мусора и коммунальных отходов на территории 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организационное участие в сборе и вывозе мусора на 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4.5.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 Мероприятия по содержанию памятников воинской славы, расположенных  в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д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.К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уркат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в.д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.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Кукунур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, в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д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.Г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отол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Предусматриваются поддерживающие работы по содержанию и текущему ремонту (сбор мусора, окраска, текущий ремонт конструкций памятников и их ограждений).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lastRenderedPageBreak/>
        <w:t>4.6.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содержанию мест захоронения в сельском поселении.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Предусматриваются работы по содержанию подъездных путей и внутренних проездов, санитарной очистке, сбору, накоплению и транспортировке мусора к местам утилизации, удаления аварийных и (или) естественно усохших деревьев и кустарников, выкос травы и сухой стерни на прилегающих территориях, закупка и установка на захоронениях идентификационных знаков и табличек в целях инвентаризации и паспортизации.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4.7.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содержанию и текущему ремонту внутриквартальных проездов территории застройки населенных пунктов в сельском поселении.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Предусматривается комплекс работ сезонному содержанию и текущему ремонту внутриквартальных проездов и дворовых территорий жилой застройки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5. Ресурсное обеспечение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  Финансирование мероприятий, предусмотренных разделом 3, в целях реализации настоящей Программы предусматривается следующим:</w:t>
      </w:r>
    </w:p>
    <w:tbl>
      <w:tblPr>
        <w:tblW w:w="8946" w:type="dxa"/>
        <w:tblInd w:w="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4403"/>
        <w:gridCol w:w="3402"/>
      </w:tblGrid>
      <w:tr w:rsidR="00901743" w:rsidRPr="00901743" w:rsidTr="00E71F3A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i/>
                <w:iCs/>
                <w:color w:val="363636"/>
                <w:lang w:eastAsia="ru-RU"/>
              </w:rPr>
              <w:t>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Наименование направлений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использования сре</w:t>
            </w:r>
            <w:proofErr w:type="gramStart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дств Пр</w:t>
            </w:r>
            <w:proofErr w:type="gramEnd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(программные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2017год.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>Всего: 51,0 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 по мероприятиям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Капитальный ремонт, текущее содержание, восстановление и обслуживание сетей уличного освещения </w:t>
            </w:r>
            <w:proofErr w:type="gramStart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в</w:t>
            </w:r>
            <w:proofErr w:type="gramEnd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с. </w:t>
            </w:r>
            <w:proofErr w:type="spellStart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28,0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19,0 </w:t>
            </w:r>
          </w:p>
        </w:tc>
      </w:tr>
      <w:tr w:rsidR="00901743" w:rsidRPr="00901743" w:rsidTr="00E71F3A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Ремонт водяной скважины в д. 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Кукунур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4,0</w:t>
            </w:r>
          </w:p>
        </w:tc>
      </w:tr>
      <w:tr w:rsidR="00901743" w:rsidRPr="00901743" w:rsidTr="00E71F3A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2018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Всего:28,0</w:t>
            </w:r>
          </w:p>
        </w:tc>
      </w:tr>
      <w:tr w:rsidR="00901743" w:rsidRPr="00901743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Обрезка тополей и вывоз вокруг сквера Славы, по ул. Ленина.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10,0</w:t>
            </w:r>
          </w:p>
        </w:tc>
      </w:tr>
      <w:tr w:rsidR="00901743" w:rsidRPr="00901743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обустройству, ремонту и содержанию детских 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2019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Всего:23,0 </w:t>
            </w:r>
          </w:p>
        </w:tc>
      </w:tr>
      <w:tr w:rsidR="00901743" w:rsidRPr="00901743" w:rsidTr="00E71F3A">
        <w:trPr>
          <w:trHeight w:val="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1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Мероприятия по озеленению территории сельских населенных пунктов сельского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23,0</w:t>
            </w:r>
          </w:p>
        </w:tc>
      </w:tr>
      <w:tr w:rsidR="00901743" w:rsidRPr="00901743" w:rsidTr="00E71F3A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i/>
                <w:iCs/>
                <w:color w:val="000000"/>
                <w:lang w:eastAsia="ru-RU"/>
              </w:rPr>
              <w:t>2020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Всего: 32,0 </w:t>
            </w:r>
          </w:p>
        </w:tc>
      </w:tr>
      <w:tr w:rsidR="00901743" w:rsidRPr="00901743" w:rsidTr="00E71F3A">
        <w:trPr>
          <w:trHeight w:val="7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    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Удаление аварийных и естественно усохших деревьев на территории в населенных пунктах поселения.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                              7,0</w:t>
            </w:r>
          </w:p>
        </w:tc>
      </w:tr>
      <w:tr w:rsidR="00901743" w:rsidRPr="00901743" w:rsidTr="00E71F3A">
        <w:trPr>
          <w:trHeight w:val="6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> 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Содержание газонов, выкос травы и сухой стерни на </w:t>
            </w:r>
            <w:proofErr w:type="gramStart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территориях</w:t>
            </w:r>
            <w:proofErr w:type="gramEnd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прилегающих  в сельских населенных пунктах.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                       5,0                </w:t>
            </w:r>
          </w:p>
        </w:tc>
      </w:tr>
      <w:tr w:rsidR="00901743" w:rsidRPr="00901743" w:rsidTr="00E71F3A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Разборка старых</w:t>
            </w:r>
            <w:proofErr w:type="gramStart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,</w:t>
            </w:r>
            <w:proofErr w:type="gramEnd"/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ненужных строений и их вывоз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</w:p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                        20,0</w:t>
            </w:r>
          </w:p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2021 год</w:t>
            </w:r>
          </w:p>
          <w:p w:rsidR="00901743" w:rsidRPr="00901743" w:rsidRDefault="00901743" w:rsidP="00901743">
            <w:pPr>
              <w:spacing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Всего: 25,0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 1.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Мероприятия по ремонту и содержанию памятников воинской славы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     15,0 </w:t>
            </w:r>
          </w:p>
        </w:tc>
      </w:tr>
      <w:tr w:rsidR="00901743" w:rsidRPr="00901743" w:rsidTr="00E71F3A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Санитарная очистка и озеленение вокруг водонапорных башен на территории МО «</w:t>
            </w:r>
            <w:proofErr w:type="spell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Аларь</w:t>
            </w:r>
            <w:proofErr w:type="spell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       10,0</w:t>
            </w:r>
          </w:p>
        </w:tc>
      </w:tr>
      <w:tr w:rsidR="00901743" w:rsidRPr="00901743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2021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Всего:20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i/>
                <w:iCs/>
                <w:color w:val="000000"/>
                <w:lang w:eastAsia="ru-RU"/>
              </w:rPr>
              <w:t>Ремонт водозаборных колонок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      10,0 </w:t>
            </w:r>
          </w:p>
        </w:tc>
      </w:tr>
      <w:tr w:rsidR="00901743" w:rsidRPr="00901743" w:rsidTr="00E71F3A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Ремонт детского парка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     10,0</w:t>
            </w:r>
          </w:p>
        </w:tc>
      </w:tr>
    </w:tbl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Courier New" w:eastAsia="Calibri" w:hAnsi="Courier New" w:cs="Courier New"/>
          <w:color w:val="363636"/>
          <w:lang w:eastAsia="ru-RU"/>
        </w:rPr>
      </w:pPr>
      <w:r w:rsidRPr="00901743">
        <w:rPr>
          <w:rFonts w:ascii="Courier New" w:eastAsia="Calibri" w:hAnsi="Courier New" w:cs="Courier New"/>
          <w:color w:val="363636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6. Механизм реализации, организация управления и контроль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за ходом реализации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Распределение объемов финансирования, указанных в Разделе 4</w:t>
      </w: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 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настоящей Программы, по объектам осуществляется Муниципальным заказчиком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Контроль за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реализацией Программы осуществляется Администрацией МО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Исполнитель Программы - Администрация МО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ходом реализации Программы осуществляется в соответствии с действующим законодательством Российской Федерации и нормативно правовыми актами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1.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муниципального образования «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ходе реализации программы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 Эффективность программы оценивается по следующим показателям: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действующим нормативным требованиям;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благоустройству, включая мероприятия по ликвидации несанкционированных свалок мусора и твердых коммунальных отходов;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площадками).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 xml:space="preserve">8. Организация управлением Программы и </w:t>
      </w:r>
      <w:proofErr w:type="gramStart"/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 xml:space="preserve"> ходом ее реализации.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Программа представляет собой комплексную систему целевых ориентиров социально-экономического развития муниципального образования и планируемых администрацией  эффективных путей и средств достижения указанных ориентиров.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Управление Программой, в том числе текущий </w:t>
      </w:r>
      <w:proofErr w:type="gramStart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ее реализацией, осуществляет администрация. Текущий финансовый контроль использования средств местного бюджета осуществляется органами  местного самоуправления. На основе изложенных в Программе направлений «Благоустройство» 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исполнительные органы  местного самоуправления разрабатывают целевые программы, конкретизирующие мероприятия, способствующие достижению главной цели и решению поставленных Программой задач. Ежегодно на основе целевых программ исполнительными органами местного самоуправления МО, разрабатывается план мероприятий, подлежащий исполнению в текущем году. 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План составляют как мероприятия, подлежащие финансированию из  </w:t>
      </w:r>
      <w:proofErr w:type="spellStart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местного</w:t>
      </w:r>
      <w:proofErr w:type="gramStart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,р</w:t>
      </w:r>
      <w:proofErr w:type="gramEnd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айонного</w:t>
      </w:r>
      <w:proofErr w:type="spellEnd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областного. Координацию разработки целевых программ и планов мероприятий, контроль и анализ хода работ, корректировку Программы в случае необходимости, анализ и оценку конечных результатов реализации осуществляет Дума МО «</w:t>
      </w:r>
      <w:proofErr w:type="spellStart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». 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901743">
        <w:rPr>
          <w:rFonts w:ascii="Arial" w:eastAsia="Calibri" w:hAnsi="Arial" w:cs="Arial"/>
          <w:sz w:val="24"/>
          <w:szCs w:val="24"/>
          <w:lang w:eastAsia="ru-RU"/>
        </w:rPr>
        <w:t>Аларь</w:t>
      </w:r>
      <w:proofErr w:type="spellEnd"/>
      <w:r w:rsidRPr="00901743">
        <w:rPr>
          <w:rFonts w:ascii="Arial" w:eastAsia="Calibri" w:hAnsi="Arial" w:cs="Arial"/>
          <w:sz w:val="24"/>
          <w:szCs w:val="24"/>
          <w:lang w:eastAsia="ru-RU"/>
        </w:rPr>
        <w:t>» определяет ответственных исполнителей,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результате реализации  Программы ожидается: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совершенствование эстетического состояния территории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  содержание в достойном состоянии  мест Воинской славы,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поддержание зон для отдыха и занятий спортом и физической культурой для жителей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нормативное содержание зелёных насаждений,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улучшения внешнего вида населенных пунктов поселения.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-увеличение светильников уличного освещения, в том числе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энергоэффективных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увеличение количества зелёных насаждений на территориях населённых пунктов поселения. </w:t>
      </w: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2460B9" w:rsidRDefault="002460B9">
      <w:bookmarkStart w:id="0" w:name="_GoBack"/>
      <w:bookmarkEnd w:id="0"/>
    </w:p>
    <w:sectPr w:rsidR="002460B9" w:rsidSect="007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6"/>
    <w:rsid w:val="001A5316"/>
    <w:rsid w:val="002460B9"/>
    <w:rsid w:val="009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3868</Words>
  <Characters>22049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2017-04-14T08:54:00Z</dcterms:created>
  <dcterms:modified xsi:type="dcterms:W3CDTF">2017-04-14T08:54:00Z</dcterms:modified>
</cp:coreProperties>
</file>